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8625E">
      <w:pPr>
        <w:pStyle w:val="9"/>
        <w:ind w:left="0" w:leftChars="0" w:firstLine="0" w:firstLineChars="0"/>
        <w:jc w:val="center"/>
        <w:rPr>
          <w:rFonts w:hint="eastAsia" w:ascii="宋体" w:hAnsi="宋体"/>
          <w:bCs/>
          <w:color w:val="auto"/>
          <w:spacing w:val="-1"/>
          <w:sz w:val="30"/>
          <w:szCs w:val="30"/>
          <w:highlight w:val="none"/>
        </w:rPr>
      </w:pPr>
      <w:r>
        <w:rPr>
          <w:rFonts w:hint="eastAsia" w:ascii="宋体" w:hAnsi="宋体"/>
          <w:b/>
          <w:bCs w:val="0"/>
          <w:color w:val="auto"/>
          <w:kern w:val="2"/>
          <w:sz w:val="36"/>
          <w:szCs w:val="24"/>
          <w:highlight w:val="none"/>
        </w:rPr>
        <w:t>评标办法</w:t>
      </w:r>
    </w:p>
    <w:p w14:paraId="7BF7A580">
      <w:pPr>
        <w:widowControl/>
        <w:spacing w:line="360" w:lineRule="auto"/>
        <w:ind w:firstLine="480" w:firstLineChars="200"/>
        <w:jc w:val="left"/>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一、评标程序</w:t>
      </w:r>
    </w:p>
    <w:p w14:paraId="22028438">
      <w:pPr>
        <w:widowControl/>
        <w:spacing w:line="360" w:lineRule="auto"/>
        <w:ind w:firstLine="480" w:firstLineChars="200"/>
        <w:jc w:val="left"/>
        <w:rPr>
          <w:rFonts w:hint="eastAsia" w:ascii="宋体" w:hAnsi="宋体" w:cs="仿宋_GB2312"/>
          <w:bCs/>
          <w:color w:val="auto"/>
          <w:kern w:val="0"/>
          <w:sz w:val="24"/>
          <w:highlight w:val="none"/>
        </w:rPr>
      </w:pPr>
      <w:r>
        <w:rPr>
          <w:rFonts w:hint="eastAsia" w:ascii="宋体" w:hAnsi="宋体" w:cs="宋体"/>
          <w:bCs/>
          <w:color w:val="auto"/>
          <w:kern w:val="0"/>
          <w:sz w:val="24"/>
          <w:highlight w:val="none"/>
          <w:lang w:val="en-US" w:eastAsia="zh-CN"/>
        </w:rPr>
        <w:t>项目</w:t>
      </w:r>
      <w:r>
        <w:rPr>
          <w:rFonts w:hint="eastAsia" w:ascii="宋体" w:hAnsi="宋体" w:cs="宋体"/>
          <w:bCs/>
          <w:color w:val="auto"/>
          <w:kern w:val="0"/>
          <w:sz w:val="24"/>
          <w:highlight w:val="none"/>
        </w:rPr>
        <w:t>开标→</w:t>
      </w:r>
      <w:r>
        <w:rPr>
          <w:rFonts w:hint="eastAsia" w:ascii="宋体" w:hAnsi="宋体" w:cs="宋体"/>
          <w:bCs/>
          <w:color w:val="auto"/>
          <w:kern w:val="0"/>
          <w:sz w:val="24"/>
          <w:highlight w:val="none"/>
          <w:lang w:val="en-US" w:eastAsia="zh-CN"/>
        </w:rPr>
        <w:t>综合</w:t>
      </w:r>
      <w:r>
        <w:rPr>
          <w:rFonts w:hint="eastAsia" w:ascii="宋体" w:hAnsi="宋体" w:cs="宋体"/>
          <w:bCs/>
          <w:color w:val="auto"/>
          <w:kern w:val="0"/>
          <w:sz w:val="24"/>
          <w:highlight w:val="none"/>
        </w:rPr>
        <w:t>评审→确定中标人</w:t>
      </w:r>
      <w:r>
        <w:rPr>
          <w:rFonts w:hint="eastAsia" w:ascii="宋体" w:hAnsi="宋体" w:cs="仿宋_GB2312"/>
          <w:bCs/>
          <w:color w:val="auto"/>
          <w:kern w:val="0"/>
          <w:sz w:val="24"/>
          <w:highlight w:val="none"/>
        </w:rPr>
        <w:t>。</w:t>
      </w:r>
    </w:p>
    <w:p w14:paraId="40B02F0E">
      <w:pPr>
        <w:widowControl/>
        <w:spacing w:line="360" w:lineRule="auto"/>
        <w:ind w:firstLine="480" w:firstLineChars="200"/>
        <w:jc w:val="left"/>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二、资格审查程序及办法</w:t>
      </w:r>
    </w:p>
    <w:p w14:paraId="421AD98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w:t>
      </w:r>
      <w:r>
        <w:rPr>
          <w:rFonts w:ascii="宋体" w:hAnsi="宋体" w:cs="宋体"/>
          <w:color w:val="auto"/>
          <w:kern w:val="0"/>
          <w:sz w:val="24"/>
          <w:highlight w:val="none"/>
        </w:rPr>
        <w:t>本次资格审查采用合格制，各投标人只有满足资格审查必要合格条件后，方可参与</w:t>
      </w:r>
      <w:r>
        <w:rPr>
          <w:rFonts w:hint="eastAsia" w:ascii="宋体" w:hAnsi="宋体" w:cs="宋体"/>
          <w:color w:val="auto"/>
          <w:kern w:val="0"/>
          <w:sz w:val="24"/>
          <w:highlight w:val="none"/>
        </w:rPr>
        <w:t>商务标</w:t>
      </w:r>
      <w:r>
        <w:rPr>
          <w:rFonts w:ascii="宋体" w:hAnsi="宋体" w:cs="宋体"/>
          <w:color w:val="auto"/>
          <w:kern w:val="0"/>
          <w:sz w:val="24"/>
          <w:highlight w:val="none"/>
        </w:rPr>
        <w:t>的评审。</w:t>
      </w:r>
    </w:p>
    <w:p w14:paraId="67FB8616">
      <w:pPr>
        <w:autoSpaceDE w:val="0"/>
        <w:autoSpaceDN w:val="0"/>
        <w:adjustRightInd w:val="0"/>
        <w:snapToGrid w:val="0"/>
        <w:spacing w:line="360" w:lineRule="auto"/>
        <w:ind w:firstLine="480" w:firstLineChars="200"/>
        <w:rPr>
          <w:rFonts w:hint="eastAsia" w:ascii="宋体" w:hAnsi="宋体"/>
          <w:color w:val="auto"/>
          <w:sz w:val="24"/>
          <w:highlight w:val="none"/>
        </w:rPr>
      </w:pPr>
      <w:r>
        <w:rPr>
          <w:rFonts w:hint="eastAsia" w:ascii="宋体" w:hAnsi="宋体" w:cs="宋体"/>
          <w:color w:val="auto"/>
          <w:kern w:val="0"/>
          <w:sz w:val="24"/>
          <w:highlight w:val="none"/>
        </w:rPr>
        <w:t>（二）</w:t>
      </w:r>
      <w:r>
        <w:rPr>
          <w:rFonts w:hint="eastAsia" w:ascii="宋体" w:hAnsi="宋体" w:cs="宋体"/>
          <w:color w:val="auto"/>
          <w:kern w:val="0"/>
          <w:sz w:val="24"/>
          <w:highlight w:val="none"/>
          <w:lang w:val="en-US" w:eastAsia="zh-CN"/>
        </w:rPr>
        <w:t>采购方</w:t>
      </w:r>
      <w:r>
        <w:rPr>
          <w:rFonts w:ascii="宋体" w:hAnsi="宋体" w:cs="宋体"/>
          <w:color w:val="auto"/>
          <w:kern w:val="0"/>
          <w:sz w:val="24"/>
          <w:highlight w:val="none"/>
        </w:rPr>
        <w:t>按下表所列的资格审查必要合格条件，对各投标人递交的资格审查资料进行评审，并公布资格审查合格者名单。</w:t>
      </w:r>
    </w:p>
    <w:p w14:paraId="38E20E3A">
      <w:pPr>
        <w:widowControl/>
        <w:spacing w:line="360" w:lineRule="auto"/>
        <w:ind w:firstLine="480" w:firstLineChars="200"/>
        <w:jc w:val="center"/>
        <w:rPr>
          <w:rFonts w:hint="eastAsia" w:ascii="宋体" w:hAnsi="宋体"/>
          <w:color w:val="auto"/>
          <w:sz w:val="24"/>
          <w:highlight w:val="none"/>
        </w:rPr>
      </w:pPr>
      <w:r>
        <w:rPr>
          <w:rFonts w:hint="eastAsia" w:ascii="宋体" w:hAnsi="宋体"/>
          <w:color w:val="auto"/>
          <w:sz w:val="24"/>
          <w:highlight w:val="none"/>
        </w:rPr>
        <w:t>资格审查必要合格条件标准</w:t>
      </w:r>
    </w:p>
    <w:tbl>
      <w:tblPr>
        <w:tblStyle w:val="12"/>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915"/>
        <w:gridCol w:w="3393"/>
        <w:gridCol w:w="3245"/>
      </w:tblGrid>
      <w:tr w14:paraId="265F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blHeader/>
          <w:jc w:val="center"/>
        </w:trPr>
        <w:tc>
          <w:tcPr>
            <w:tcW w:w="504" w:type="dxa"/>
            <w:noWrap w:val="0"/>
            <w:vAlign w:val="center"/>
          </w:tcPr>
          <w:p w14:paraId="162BBFA2">
            <w:pPr>
              <w:spacing w:line="400" w:lineRule="exact"/>
              <w:ind w:left="-2" w:leftChars="-1"/>
              <w:jc w:val="center"/>
              <w:rPr>
                <w:rFonts w:hint="eastAsia" w:ascii="宋体" w:hAnsi="宋体"/>
                <w:color w:val="auto"/>
                <w:sz w:val="24"/>
                <w:highlight w:val="none"/>
              </w:rPr>
            </w:pPr>
            <w:r>
              <w:rPr>
                <w:rFonts w:hint="eastAsia" w:ascii="宋体" w:hAnsi="宋体"/>
                <w:color w:val="auto"/>
                <w:sz w:val="24"/>
                <w:highlight w:val="none"/>
              </w:rPr>
              <w:t>序号</w:t>
            </w:r>
          </w:p>
        </w:tc>
        <w:tc>
          <w:tcPr>
            <w:tcW w:w="1915" w:type="dxa"/>
            <w:noWrap w:val="0"/>
            <w:vAlign w:val="center"/>
          </w:tcPr>
          <w:p w14:paraId="73DDF8DB">
            <w:pPr>
              <w:spacing w:line="400" w:lineRule="exact"/>
              <w:ind w:left="-2" w:leftChars="-1" w:firstLine="480" w:firstLineChars="200"/>
              <w:jc w:val="center"/>
              <w:rPr>
                <w:rFonts w:hint="eastAsia" w:ascii="宋体" w:hAnsi="宋体"/>
                <w:color w:val="auto"/>
                <w:sz w:val="24"/>
                <w:highlight w:val="none"/>
              </w:rPr>
            </w:pPr>
            <w:r>
              <w:rPr>
                <w:rFonts w:hint="eastAsia" w:ascii="宋体" w:hAnsi="宋体"/>
                <w:color w:val="auto"/>
                <w:sz w:val="24"/>
                <w:highlight w:val="none"/>
              </w:rPr>
              <w:t>项目内容</w:t>
            </w:r>
          </w:p>
        </w:tc>
        <w:tc>
          <w:tcPr>
            <w:tcW w:w="3393" w:type="dxa"/>
            <w:noWrap w:val="0"/>
            <w:vAlign w:val="center"/>
          </w:tcPr>
          <w:p w14:paraId="6817EFD8">
            <w:pPr>
              <w:spacing w:line="400" w:lineRule="exact"/>
              <w:ind w:left="-2" w:leftChars="-1" w:firstLine="480" w:firstLineChars="200"/>
              <w:jc w:val="center"/>
              <w:rPr>
                <w:rFonts w:hint="eastAsia" w:ascii="宋体" w:hAnsi="宋体"/>
                <w:color w:val="auto"/>
                <w:sz w:val="24"/>
                <w:highlight w:val="none"/>
              </w:rPr>
            </w:pPr>
            <w:r>
              <w:rPr>
                <w:rFonts w:hint="eastAsia" w:ascii="宋体" w:hAnsi="宋体"/>
                <w:color w:val="auto"/>
                <w:sz w:val="24"/>
                <w:highlight w:val="none"/>
              </w:rPr>
              <w:t>合格条件</w:t>
            </w:r>
          </w:p>
        </w:tc>
        <w:tc>
          <w:tcPr>
            <w:tcW w:w="3245" w:type="dxa"/>
            <w:noWrap w:val="0"/>
            <w:vAlign w:val="center"/>
          </w:tcPr>
          <w:p w14:paraId="0790DF5F">
            <w:pPr>
              <w:spacing w:line="400" w:lineRule="exact"/>
              <w:ind w:left="-2" w:leftChars="-1" w:firstLine="480" w:firstLineChars="200"/>
              <w:jc w:val="center"/>
              <w:rPr>
                <w:rFonts w:hint="eastAsia" w:ascii="宋体" w:hAnsi="宋体"/>
                <w:color w:val="auto"/>
                <w:sz w:val="24"/>
                <w:highlight w:val="none"/>
              </w:rPr>
            </w:pPr>
            <w:r>
              <w:rPr>
                <w:rFonts w:hint="eastAsia" w:ascii="宋体" w:hAnsi="宋体"/>
                <w:color w:val="auto"/>
                <w:sz w:val="24"/>
                <w:highlight w:val="none"/>
              </w:rPr>
              <w:t>需提供的证明材料</w:t>
            </w:r>
          </w:p>
        </w:tc>
      </w:tr>
      <w:tr w14:paraId="2D1A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504" w:type="dxa"/>
            <w:noWrap w:val="0"/>
            <w:vAlign w:val="center"/>
          </w:tcPr>
          <w:p w14:paraId="7B1B305B">
            <w:pPr>
              <w:spacing w:line="400" w:lineRule="exact"/>
              <w:ind w:left="-2" w:leftChars="-1"/>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915" w:type="dxa"/>
            <w:noWrap w:val="0"/>
            <w:vAlign w:val="center"/>
          </w:tcPr>
          <w:p w14:paraId="3A08865A">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法定代表人身份证明书</w:t>
            </w:r>
          </w:p>
        </w:tc>
        <w:tc>
          <w:tcPr>
            <w:tcW w:w="3393" w:type="dxa"/>
            <w:noWrap w:val="0"/>
            <w:vAlign w:val="center"/>
          </w:tcPr>
          <w:p w14:paraId="1A6C59CB">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法定代表人身份证明书</w:t>
            </w:r>
          </w:p>
        </w:tc>
        <w:tc>
          <w:tcPr>
            <w:tcW w:w="3245" w:type="dxa"/>
            <w:noWrap w:val="0"/>
            <w:vAlign w:val="center"/>
          </w:tcPr>
          <w:p w14:paraId="1781903C">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法定代表人身份证明书原件</w:t>
            </w:r>
          </w:p>
        </w:tc>
      </w:tr>
      <w:tr w14:paraId="357A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504" w:type="dxa"/>
            <w:noWrap w:val="0"/>
            <w:vAlign w:val="center"/>
          </w:tcPr>
          <w:p w14:paraId="1141A845">
            <w:pPr>
              <w:spacing w:line="400" w:lineRule="exact"/>
              <w:ind w:left="-2" w:leftChars="-1"/>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915" w:type="dxa"/>
            <w:noWrap w:val="0"/>
            <w:vAlign w:val="center"/>
          </w:tcPr>
          <w:p w14:paraId="06FD5C6E">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授权委托书（如有授权）</w:t>
            </w:r>
          </w:p>
        </w:tc>
        <w:tc>
          <w:tcPr>
            <w:tcW w:w="3393" w:type="dxa"/>
            <w:noWrap w:val="0"/>
            <w:vAlign w:val="center"/>
          </w:tcPr>
          <w:p w14:paraId="5538993F">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授权委托书(如有授权)</w:t>
            </w:r>
          </w:p>
        </w:tc>
        <w:tc>
          <w:tcPr>
            <w:tcW w:w="3245" w:type="dxa"/>
            <w:noWrap w:val="0"/>
            <w:vAlign w:val="center"/>
          </w:tcPr>
          <w:p w14:paraId="0B198F2D">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授权委托书(如有授权) 原件（格式</w:t>
            </w:r>
            <w:r>
              <w:rPr>
                <w:rFonts w:hint="eastAsia" w:ascii="宋体" w:hAnsi="宋体"/>
                <w:color w:val="auto"/>
                <w:sz w:val="21"/>
                <w:szCs w:val="21"/>
                <w:highlight w:val="none"/>
                <w:lang w:val="en-US" w:eastAsia="zh-CN"/>
              </w:rPr>
              <w:t>自拟</w:t>
            </w:r>
            <w:r>
              <w:rPr>
                <w:rFonts w:hint="eastAsia" w:ascii="宋体" w:hAnsi="宋体"/>
                <w:color w:val="auto"/>
                <w:sz w:val="21"/>
                <w:szCs w:val="21"/>
                <w:highlight w:val="none"/>
              </w:rPr>
              <w:t>）</w:t>
            </w:r>
          </w:p>
        </w:tc>
      </w:tr>
      <w:tr w14:paraId="14C6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504" w:type="dxa"/>
            <w:noWrap w:val="0"/>
            <w:vAlign w:val="center"/>
          </w:tcPr>
          <w:p w14:paraId="4B72571E">
            <w:pPr>
              <w:spacing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1915" w:type="dxa"/>
            <w:noWrap w:val="0"/>
            <w:vAlign w:val="center"/>
          </w:tcPr>
          <w:p w14:paraId="75DFB01A">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企业法人营业执照</w:t>
            </w:r>
          </w:p>
        </w:tc>
        <w:tc>
          <w:tcPr>
            <w:tcW w:w="3393" w:type="dxa"/>
            <w:noWrap w:val="0"/>
            <w:vAlign w:val="center"/>
          </w:tcPr>
          <w:p w14:paraId="7B4F6B92">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 xml:space="preserve">工商行政管理部门颁发的有效的法人营业执照 </w:t>
            </w:r>
          </w:p>
        </w:tc>
        <w:tc>
          <w:tcPr>
            <w:tcW w:w="3245" w:type="dxa"/>
            <w:noWrap w:val="0"/>
            <w:vAlign w:val="center"/>
          </w:tcPr>
          <w:p w14:paraId="680B51A0">
            <w:pPr>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有效的企业营业执照（副本）</w:t>
            </w:r>
          </w:p>
        </w:tc>
      </w:tr>
      <w:tr w14:paraId="4EF0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504" w:type="dxa"/>
            <w:noWrap w:val="0"/>
            <w:vAlign w:val="center"/>
          </w:tcPr>
          <w:p w14:paraId="034596B5">
            <w:pPr>
              <w:spacing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1915" w:type="dxa"/>
            <w:noWrap w:val="0"/>
            <w:vAlign w:val="center"/>
          </w:tcPr>
          <w:p w14:paraId="0EBACD77">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企业资质类别等级</w:t>
            </w:r>
          </w:p>
        </w:tc>
        <w:tc>
          <w:tcPr>
            <w:tcW w:w="3393" w:type="dxa"/>
            <w:noWrap w:val="0"/>
            <w:vAlign w:val="center"/>
          </w:tcPr>
          <w:p w14:paraId="7D82DDA8">
            <w:pPr>
              <w:widowControl/>
              <w:spacing w:line="400" w:lineRule="exact"/>
              <w:jc w:val="left"/>
              <w:rPr>
                <w:rFonts w:hint="eastAsia" w:ascii="宋体" w:hAnsi="宋体"/>
                <w:color w:val="auto"/>
                <w:sz w:val="21"/>
                <w:szCs w:val="21"/>
                <w:highlight w:val="none"/>
              </w:rPr>
            </w:pPr>
            <w:r>
              <w:rPr>
                <w:rFonts w:hint="default"/>
              </w:rPr>
              <w:t>防水防腐保温工程专业承包</w:t>
            </w:r>
            <w:r>
              <w:rPr>
                <w:rFonts w:hint="eastAsia"/>
                <w:lang w:val="en-US" w:eastAsia="zh-CN"/>
              </w:rPr>
              <w:t>二级</w:t>
            </w:r>
            <w:r>
              <w:rPr>
                <w:rFonts w:hint="default"/>
              </w:rPr>
              <w:t>及以上资质</w:t>
            </w:r>
          </w:p>
        </w:tc>
        <w:tc>
          <w:tcPr>
            <w:tcW w:w="3245" w:type="dxa"/>
            <w:noWrap w:val="0"/>
            <w:vAlign w:val="center"/>
          </w:tcPr>
          <w:p w14:paraId="557C1980">
            <w:pPr>
              <w:widowControl/>
              <w:spacing w:line="400" w:lineRule="exact"/>
              <w:jc w:val="left"/>
              <w:rPr>
                <w:rFonts w:ascii="宋体" w:hAnsi="宋体"/>
                <w:color w:val="auto"/>
                <w:sz w:val="21"/>
                <w:szCs w:val="21"/>
                <w:highlight w:val="none"/>
              </w:rPr>
            </w:pPr>
            <w:r>
              <w:rPr>
                <w:rFonts w:hint="eastAsia" w:ascii="宋体" w:hAnsi="宋体"/>
                <w:color w:val="auto"/>
                <w:sz w:val="21"/>
                <w:szCs w:val="21"/>
                <w:highlight w:val="none"/>
              </w:rPr>
              <w:t>提供相应的资质证书</w:t>
            </w:r>
          </w:p>
        </w:tc>
      </w:tr>
      <w:tr w14:paraId="347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504" w:type="dxa"/>
            <w:noWrap w:val="0"/>
            <w:vAlign w:val="center"/>
          </w:tcPr>
          <w:p w14:paraId="4901FCB0">
            <w:pPr>
              <w:spacing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1915" w:type="dxa"/>
            <w:noWrap w:val="0"/>
            <w:vAlign w:val="center"/>
          </w:tcPr>
          <w:p w14:paraId="76013C2B">
            <w:pPr>
              <w:widowControl/>
              <w:spacing w:line="400" w:lineRule="exact"/>
              <w:jc w:val="left"/>
              <w:rPr>
                <w:rFonts w:ascii="宋体" w:hAnsi="宋体"/>
                <w:color w:val="auto"/>
                <w:sz w:val="21"/>
                <w:szCs w:val="21"/>
                <w:highlight w:val="none"/>
              </w:rPr>
            </w:pPr>
            <w:r>
              <w:rPr>
                <w:rFonts w:ascii="宋体" w:hAnsi="宋体"/>
                <w:color w:val="auto"/>
                <w:sz w:val="21"/>
                <w:szCs w:val="21"/>
                <w:highlight w:val="none"/>
              </w:rPr>
              <w:t>企业安全生产许可证</w:t>
            </w:r>
          </w:p>
        </w:tc>
        <w:tc>
          <w:tcPr>
            <w:tcW w:w="3393" w:type="dxa"/>
            <w:noWrap w:val="0"/>
            <w:vAlign w:val="center"/>
          </w:tcPr>
          <w:p w14:paraId="7D4A8A99">
            <w:pPr>
              <w:widowControl/>
              <w:spacing w:line="400" w:lineRule="exact"/>
              <w:jc w:val="left"/>
              <w:rPr>
                <w:rFonts w:ascii="宋体" w:hAnsi="宋体"/>
                <w:color w:val="auto"/>
                <w:sz w:val="21"/>
                <w:szCs w:val="21"/>
                <w:highlight w:val="none"/>
              </w:rPr>
            </w:pPr>
            <w:r>
              <w:rPr>
                <w:rFonts w:ascii="宋体" w:hAnsi="宋体"/>
                <w:color w:val="auto"/>
                <w:sz w:val="21"/>
                <w:szCs w:val="21"/>
                <w:highlight w:val="none"/>
              </w:rPr>
              <w:t>企业具备安全产生条件，并取得安全生产许可证。</w:t>
            </w:r>
          </w:p>
        </w:tc>
        <w:tc>
          <w:tcPr>
            <w:tcW w:w="3245" w:type="dxa"/>
            <w:noWrap w:val="0"/>
            <w:vAlign w:val="center"/>
          </w:tcPr>
          <w:p w14:paraId="7C6DB858">
            <w:pPr>
              <w:widowControl/>
              <w:spacing w:line="400" w:lineRule="exact"/>
              <w:jc w:val="left"/>
              <w:rPr>
                <w:rFonts w:ascii="宋体" w:hAnsi="宋体"/>
                <w:color w:val="auto"/>
                <w:sz w:val="21"/>
                <w:szCs w:val="21"/>
                <w:highlight w:val="none"/>
              </w:rPr>
            </w:pPr>
            <w:r>
              <w:rPr>
                <w:rFonts w:ascii="宋体" w:hAnsi="宋体"/>
                <w:color w:val="auto"/>
                <w:sz w:val="21"/>
                <w:szCs w:val="21"/>
                <w:highlight w:val="none"/>
              </w:rPr>
              <w:t>有效的安全生产许可证</w:t>
            </w:r>
          </w:p>
        </w:tc>
      </w:tr>
      <w:tr w14:paraId="71E5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4" w:hRule="atLeast"/>
          <w:jc w:val="center"/>
        </w:trPr>
        <w:tc>
          <w:tcPr>
            <w:tcW w:w="504" w:type="dxa"/>
            <w:noWrap w:val="0"/>
            <w:vAlign w:val="center"/>
          </w:tcPr>
          <w:p w14:paraId="1822D37D">
            <w:pPr>
              <w:spacing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1915" w:type="dxa"/>
            <w:noWrap w:val="0"/>
            <w:vAlign w:val="center"/>
          </w:tcPr>
          <w:p w14:paraId="16EFEB08">
            <w:pPr>
              <w:widowControl/>
              <w:spacing w:line="400" w:lineRule="exact"/>
              <w:jc w:val="left"/>
              <w:rPr>
                <w:rFonts w:ascii="宋体" w:hAnsi="宋体"/>
                <w:color w:val="auto"/>
                <w:sz w:val="21"/>
                <w:szCs w:val="21"/>
                <w:highlight w:val="none"/>
              </w:rPr>
            </w:pPr>
            <w:r>
              <w:rPr>
                <w:rFonts w:ascii="宋体" w:hAnsi="宋体"/>
                <w:color w:val="auto"/>
                <w:sz w:val="21"/>
                <w:szCs w:val="21"/>
                <w:highlight w:val="none"/>
              </w:rPr>
              <w:t>拟派项目负责人（项目经理）资质等级</w:t>
            </w:r>
          </w:p>
        </w:tc>
        <w:tc>
          <w:tcPr>
            <w:tcW w:w="3393" w:type="dxa"/>
            <w:noWrap w:val="0"/>
            <w:vAlign w:val="center"/>
          </w:tcPr>
          <w:p w14:paraId="6FE7C439">
            <w:pPr>
              <w:adjustRightInd w:val="0"/>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zh-CN"/>
              </w:rPr>
              <w:t>具备</w:t>
            </w:r>
            <w:r>
              <w:rPr>
                <w:rFonts w:hint="eastAsia" w:ascii="宋体" w:hAnsi="宋体"/>
                <w:color w:val="auto"/>
                <w:sz w:val="21"/>
                <w:szCs w:val="21"/>
                <w:highlight w:val="none"/>
              </w:rPr>
              <w:t>建筑工程专业</w:t>
            </w:r>
            <w:r>
              <w:rPr>
                <w:rFonts w:hint="eastAsia" w:ascii="宋体" w:hAnsi="宋体"/>
                <w:color w:val="auto"/>
                <w:sz w:val="21"/>
                <w:szCs w:val="21"/>
                <w:highlight w:val="none"/>
                <w:lang w:val="zh-CN"/>
              </w:rPr>
              <w:t>二级及以上注册建造师</w:t>
            </w:r>
          </w:p>
        </w:tc>
        <w:tc>
          <w:tcPr>
            <w:tcW w:w="3245" w:type="dxa"/>
            <w:noWrap w:val="0"/>
            <w:vAlign w:val="center"/>
          </w:tcPr>
          <w:p w14:paraId="08456EEE">
            <w:pPr>
              <w:widowControl/>
              <w:spacing w:line="400" w:lineRule="exact"/>
              <w:jc w:val="left"/>
              <w:rPr>
                <w:rFonts w:ascii="宋体" w:hAnsi="宋体"/>
                <w:color w:val="auto"/>
                <w:sz w:val="21"/>
                <w:szCs w:val="21"/>
                <w:highlight w:val="none"/>
              </w:rPr>
            </w:pPr>
            <w:r>
              <w:rPr>
                <w:rFonts w:ascii="宋体" w:hAnsi="宋体"/>
                <w:color w:val="auto"/>
                <w:sz w:val="21"/>
                <w:szCs w:val="21"/>
                <w:highlight w:val="none"/>
              </w:rPr>
              <w:t>①有效的中华人民共和国建造师注册证书(注册在投标人单位)；</w:t>
            </w:r>
          </w:p>
          <w:p w14:paraId="69BB92F6">
            <w:pPr>
              <w:widowControl/>
              <w:spacing w:line="400" w:lineRule="exact"/>
              <w:jc w:val="left"/>
              <w:rPr>
                <w:rFonts w:hint="eastAsia" w:ascii="宋体" w:hAnsi="宋体" w:eastAsia="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注：如本项目投标人拟派的项目负责人为一级注册建造师的，必须根据《办公厅关于全面实行一级建造师电子注册证书的通知》（建办市〔2021〕040 号）文件要求执行。</w:t>
            </w:r>
          </w:p>
        </w:tc>
      </w:tr>
      <w:tr w14:paraId="0E4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7" w:hRule="atLeast"/>
          <w:jc w:val="center"/>
        </w:trPr>
        <w:tc>
          <w:tcPr>
            <w:tcW w:w="504" w:type="dxa"/>
            <w:noWrap w:val="0"/>
            <w:vAlign w:val="center"/>
          </w:tcPr>
          <w:p w14:paraId="638409ED">
            <w:pPr>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7</w:t>
            </w:r>
          </w:p>
        </w:tc>
        <w:tc>
          <w:tcPr>
            <w:tcW w:w="1915" w:type="dxa"/>
            <w:noWrap w:val="0"/>
            <w:vAlign w:val="center"/>
          </w:tcPr>
          <w:p w14:paraId="42D419DA">
            <w:pPr>
              <w:autoSpaceDE w:val="0"/>
              <w:autoSpaceDN w:val="0"/>
              <w:adjustRightInd w:val="0"/>
              <w:snapToGrid w:val="0"/>
              <w:spacing w:line="400" w:lineRule="exact"/>
              <w:rPr>
                <w:rFonts w:ascii="宋体" w:hAnsi="宋体"/>
                <w:color w:val="auto"/>
                <w:sz w:val="21"/>
                <w:szCs w:val="21"/>
                <w:highlight w:val="none"/>
              </w:rPr>
            </w:pPr>
            <w:r>
              <w:rPr>
                <w:rFonts w:ascii="宋体" w:hAnsi="宋体"/>
                <w:color w:val="auto"/>
                <w:sz w:val="21"/>
                <w:szCs w:val="21"/>
                <w:highlight w:val="none"/>
              </w:rPr>
              <w:t>拟派项目负责人（项目经理）为投标企业正式人员</w:t>
            </w:r>
          </w:p>
        </w:tc>
        <w:tc>
          <w:tcPr>
            <w:tcW w:w="3393" w:type="dxa"/>
            <w:noWrap w:val="0"/>
            <w:vAlign w:val="center"/>
          </w:tcPr>
          <w:p w14:paraId="4C619F32">
            <w:pPr>
              <w:autoSpaceDE w:val="0"/>
              <w:autoSpaceDN w:val="0"/>
              <w:adjustRightInd w:val="0"/>
              <w:snapToGrid w:val="0"/>
              <w:spacing w:line="400" w:lineRule="exac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拟派项目负责人为投标企业正式人员（须提供拟派人员与投标企业双方签订的有效劳动合同</w:t>
            </w:r>
            <w:r>
              <w:rPr>
                <w:rFonts w:hint="eastAsia" w:ascii="宋体" w:hAnsi="宋体"/>
                <w:color w:val="auto"/>
                <w:sz w:val="21"/>
                <w:szCs w:val="21"/>
                <w:highlight w:val="none"/>
                <w:lang w:eastAsia="zh-CN"/>
              </w:rPr>
              <w:t>）</w:t>
            </w:r>
          </w:p>
        </w:tc>
        <w:tc>
          <w:tcPr>
            <w:tcW w:w="3245" w:type="dxa"/>
            <w:noWrap w:val="0"/>
            <w:vAlign w:val="center"/>
          </w:tcPr>
          <w:p w14:paraId="73D55BC8">
            <w:pPr>
              <w:autoSpaceDE w:val="0"/>
              <w:autoSpaceDN w:val="0"/>
              <w:adjustRightInd w:val="0"/>
              <w:snapToGrid w:val="0"/>
              <w:spacing w:line="400" w:lineRule="exac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提供</w:t>
            </w:r>
            <w:r>
              <w:rPr>
                <w:rFonts w:ascii="宋体" w:hAnsi="宋体"/>
                <w:color w:val="auto"/>
                <w:sz w:val="21"/>
                <w:szCs w:val="21"/>
                <w:highlight w:val="none"/>
              </w:rPr>
              <w:t>有效的劳动合同书</w:t>
            </w:r>
            <w:bookmarkStart w:id="0" w:name="_GoBack"/>
            <w:bookmarkEnd w:id="0"/>
            <w:r>
              <w:rPr>
                <w:rFonts w:hint="eastAsia" w:ascii="宋体" w:hAnsi="宋体"/>
                <w:color w:val="auto"/>
                <w:sz w:val="21"/>
                <w:szCs w:val="21"/>
                <w:highlight w:val="none"/>
                <w:lang w:eastAsia="zh-CN"/>
              </w:rPr>
              <w:t>。</w:t>
            </w:r>
          </w:p>
          <w:p w14:paraId="1662A2FA">
            <w:pPr>
              <w:autoSpaceDE w:val="0"/>
              <w:autoSpaceDN w:val="0"/>
              <w:adjustRightInd w:val="0"/>
              <w:snapToGrid w:val="0"/>
              <w:spacing w:line="400" w:lineRule="exact"/>
              <w:rPr>
                <w:rFonts w:ascii="宋体" w:hAnsi="宋体"/>
                <w:color w:val="auto"/>
                <w:sz w:val="21"/>
                <w:szCs w:val="21"/>
                <w:highlight w:val="none"/>
              </w:rPr>
            </w:pPr>
          </w:p>
        </w:tc>
      </w:tr>
      <w:tr w14:paraId="4C7A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jc w:val="center"/>
        </w:trPr>
        <w:tc>
          <w:tcPr>
            <w:tcW w:w="504" w:type="dxa"/>
            <w:noWrap w:val="0"/>
            <w:vAlign w:val="center"/>
          </w:tcPr>
          <w:p w14:paraId="75177838">
            <w:pPr>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p>
        </w:tc>
        <w:tc>
          <w:tcPr>
            <w:tcW w:w="1915" w:type="dxa"/>
            <w:noWrap w:val="0"/>
            <w:vAlign w:val="center"/>
          </w:tcPr>
          <w:p w14:paraId="104D00F5">
            <w:pPr>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诚信承诺书</w:t>
            </w:r>
            <w:r>
              <w:rPr>
                <w:rFonts w:hint="eastAsia" w:ascii="宋体" w:hAnsi="宋体"/>
                <w:color w:val="auto"/>
                <w:sz w:val="21"/>
                <w:szCs w:val="21"/>
                <w:highlight w:val="none"/>
                <w:lang w:val="en-US" w:eastAsia="zh-CN"/>
              </w:rPr>
              <w:t>及承诺函</w:t>
            </w:r>
            <w:r>
              <w:rPr>
                <w:rFonts w:hint="eastAsia" w:ascii="宋体" w:hAnsi="宋体"/>
                <w:color w:val="auto"/>
                <w:sz w:val="21"/>
                <w:szCs w:val="21"/>
                <w:highlight w:val="none"/>
              </w:rPr>
              <w:t xml:space="preserve"> </w:t>
            </w:r>
          </w:p>
        </w:tc>
        <w:tc>
          <w:tcPr>
            <w:tcW w:w="3393" w:type="dxa"/>
            <w:noWrap w:val="0"/>
            <w:vAlign w:val="center"/>
          </w:tcPr>
          <w:p w14:paraId="0187DAAC">
            <w:pPr>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无因投标申请人违约或不恰当履约引起的合同争议纠纷及仲裁和诉讼记录</w:t>
            </w:r>
          </w:p>
          <w:p w14:paraId="58764571">
            <w:pPr>
              <w:snapToGrid w:val="0"/>
              <w:spacing w:line="400" w:lineRule="exac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w:t>
            </w:r>
            <w:r>
              <w:rPr>
                <w:rFonts w:hint="default" w:ascii="Times New Roman" w:hAnsi="Times New Roman" w:cs="Times New Roman"/>
              </w:rPr>
              <w:t>不侵犯任何第三方的专利、商标或版权</w:t>
            </w:r>
            <w:r>
              <w:rPr>
                <w:rFonts w:hint="eastAsia" w:cs="Times New Roman"/>
                <w:lang w:val="en-US" w:eastAsia="zh-CN"/>
              </w:rPr>
              <w:t>承诺函</w:t>
            </w:r>
          </w:p>
        </w:tc>
        <w:tc>
          <w:tcPr>
            <w:tcW w:w="3245" w:type="dxa"/>
            <w:noWrap w:val="0"/>
            <w:vAlign w:val="center"/>
          </w:tcPr>
          <w:p w14:paraId="7BBD857D">
            <w:pPr>
              <w:snapToGrid w:val="0"/>
              <w:spacing w:line="400" w:lineRule="exac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xml:space="preserve">  格式</w:t>
            </w:r>
            <w:r>
              <w:rPr>
                <w:rFonts w:hint="eastAsia" w:ascii="宋体" w:hAnsi="宋体"/>
                <w:color w:val="auto"/>
                <w:sz w:val="21"/>
                <w:szCs w:val="21"/>
                <w:highlight w:val="none"/>
                <w:lang w:val="en-US" w:eastAsia="zh-CN"/>
              </w:rPr>
              <w:t>自拟</w:t>
            </w:r>
          </w:p>
        </w:tc>
      </w:tr>
      <w:tr w14:paraId="3A5F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9057" w:type="dxa"/>
            <w:gridSpan w:val="4"/>
            <w:noWrap w:val="0"/>
            <w:vAlign w:val="center"/>
          </w:tcPr>
          <w:p w14:paraId="1F5EACA7">
            <w:pPr>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备注：</w:t>
            </w:r>
            <w:r>
              <w:rPr>
                <w:rFonts w:ascii="宋体" w:hAnsi="宋体"/>
                <w:color w:val="auto"/>
                <w:sz w:val="21"/>
                <w:szCs w:val="21"/>
                <w:highlight w:val="none"/>
              </w:rPr>
              <w:t>①</w:t>
            </w:r>
            <w:r>
              <w:rPr>
                <w:rFonts w:hint="eastAsia" w:ascii="宋体" w:hAnsi="宋体"/>
                <w:color w:val="auto"/>
                <w:sz w:val="21"/>
                <w:szCs w:val="21"/>
                <w:highlight w:val="none"/>
              </w:rPr>
              <w:t>以上1-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中任何一条不符合要求的，则资格审查不通过。而且，上述</w:t>
            </w:r>
            <w:r>
              <w:rPr>
                <w:rFonts w:hint="eastAsia" w:ascii="宋体" w:hAnsi="宋体"/>
                <w:color w:val="auto"/>
                <w:sz w:val="21"/>
                <w:szCs w:val="21"/>
                <w:highlight w:val="none"/>
                <w:lang w:val="en-US" w:eastAsia="zh-CN"/>
              </w:rPr>
              <w:t>材料</w:t>
            </w:r>
            <w:r>
              <w:rPr>
                <w:rFonts w:hint="eastAsia" w:ascii="宋体" w:hAnsi="宋体"/>
                <w:color w:val="auto"/>
                <w:sz w:val="21"/>
                <w:szCs w:val="21"/>
                <w:highlight w:val="none"/>
              </w:rPr>
              <w:t>提供复印件并加盖单位公章，否则资格审查不通过。</w:t>
            </w:r>
          </w:p>
        </w:tc>
      </w:tr>
    </w:tbl>
    <w:p w14:paraId="2B5712FC">
      <w:pPr>
        <w:spacing w:line="500" w:lineRule="atLeast"/>
        <w:ind w:left="480"/>
        <w:rPr>
          <w:rFonts w:hint="eastAsia" w:ascii="宋体" w:hAnsi="宋体"/>
          <w:color w:val="auto"/>
          <w:sz w:val="24"/>
          <w:highlight w:val="none"/>
        </w:rPr>
      </w:pPr>
      <w:r>
        <w:rPr>
          <w:rFonts w:hint="eastAsia" w:ascii="宋体" w:hAnsi="宋体"/>
          <w:color w:val="auto"/>
          <w:sz w:val="24"/>
          <w:highlight w:val="none"/>
        </w:rPr>
        <w:t>三、</w:t>
      </w:r>
      <w:r>
        <w:rPr>
          <w:rFonts w:hint="eastAsia" w:ascii="宋体" w:hAnsi="宋体"/>
          <w:color w:val="auto"/>
          <w:sz w:val="24"/>
          <w:highlight w:val="none"/>
          <w:lang w:val="en-US" w:eastAsia="zh-CN"/>
        </w:rPr>
        <w:t>综合</w:t>
      </w:r>
      <w:r>
        <w:rPr>
          <w:rFonts w:hint="eastAsia" w:ascii="宋体" w:hAnsi="宋体"/>
          <w:color w:val="auto"/>
          <w:sz w:val="24"/>
          <w:highlight w:val="none"/>
        </w:rPr>
        <w:t>评审</w:t>
      </w:r>
    </w:p>
    <w:p w14:paraId="289BD801">
      <w:pPr>
        <w:spacing w:line="500" w:lineRule="atLeast"/>
        <w:ind w:firstLine="480" w:firstLineChars="200"/>
        <w:rPr>
          <w:rFonts w:hint="eastAsia" w:ascii="宋体" w:hAnsi="宋体"/>
          <w:color w:val="auto"/>
          <w:sz w:val="24"/>
          <w:highlight w:val="none"/>
        </w:rPr>
      </w:pPr>
      <w:r>
        <w:rPr>
          <w:rFonts w:hint="eastAsia" w:ascii="宋体" w:hAnsi="宋体"/>
          <w:color w:val="auto"/>
          <w:sz w:val="24"/>
          <w:highlight w:val="none"/>
        </w:rPr>
        <w:t>只有通过资格审查的投标人，且必须满足招标文件中的工期和质量要求后方可参加商务标的评审。</w:t>
      </w:r>
    </w:p>
    <w:p w14:paraId="53450F5B">
      <w:pPr>
        <w:widowControl/>
        <w:numPr>
          <w:ilvl w:val="0"/>
          <w:numId w:val="1"/>
        </w:numPr>
        <w:spacing w:line="50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投标人的投标报价低于或等于招标人设定的招标控制价的投标报价为有效报价，高于招标控制价为无效报价，作废标处理</w:t>
      </w:r>
      <w:r>
        <w:rPr>
          <w:rFonts w:ascii="宋体" w:hAnsi="宋体" w:cs="宋体"/>
          <w:color w:val="auto"/>
          <w:sz w:val="24"/>
          <w:highlight w:val="none"/>
        </w:rPr>
        <w:t>。</w:t>
      </w:r>
    </w:p>
    <w:p w14:paraId="40E974B5">
      <w:pPr>
        <w:widowControl/>
        <w:numPr>
          <w:ilvl w:val="0"/>
          <w:numId w:val="1"/>
        </w:numPr>
        <w:spacing w:line="500" w:lineRule="atLeast"/>
        <w:ind w:firstLine="480" w:firstLineChars="200"/>
        <w:jc w:val="left"/>
        <w:rPr>
          <w:rFonts w:ascii="宋体" w:hAnsi="宋体" w:cs="宋体"/>
          <w:color w:val="auto"/>
          <w:sz w:val="24"/>
          <w:highlight w:val="none"/>
        </w:rPr>
      </w:pPr>
      <w:r>
        <w:rPr>
          <w:rFonts w:ascii="宋体" w:hAnsi="宋体" w:eastAsia="宋体" w:cs="宋体"/>
          <w:color w:val="auto"/>
          <w:sz w:val="24"/>
          <w:highlight w:val="none"/>
        </w:rPr>
        <w:t>本工程招标控制为：</w:t>
      </w:r>
      <w:r>
        <w:rPr>
          <w:rFonts w:hint="eastAsia" w:ascii="宋体" w:hAnsi="宋体" w:eastAsia="宋体" w:cs="宋体"/>
          <w:color w:val="auto"/>
          <w:sz w:val="24"/>
          <w:highlight w:val="none"/>
          <w:lang w:val="en-US" w:eastAsia="zh-CN"/>
        </w:rPr>
        <w:t>334624.52</w:t>
      </w:r>
      <w:r>
        <w:rPr>
          <w:rFonts w:ascii="宋体" w:hAnsi="宋体" w:eastAsia="宋体" w:cs="宋体"/>
          <w:color w:val="auto"/>
          <w:sz w:val="24"/>
          <w:highlight w:val="none"/>
        </w:rPr>
        <w:t>元。</w:t>
      </w:r>
    </w:p>
    <w:p w14:paraId="648C659E">
      <w:pPr>
        <w:widowControl/>
        <w:numPr>
          <w:ilvl w:val="0"/>
          <w:numId w:val="1"/>
        </w:numPr>
        <w:spacing w:line="500" w:lineRule="atLeast"/>
        <w:ind w:firstLine="480" w:firstLineChars="200"/>
        <w:jc w:val="left"/>
        <w:rPr>
          <w:rFonts w:ascii="宋体" w:hAnsi="宋体" w:cs="宋体"/>
          <w:color w:val="auto"/>
          <w:sz w:val="24"/>
          <w:highlight w:val="none"/>
        </w:rPr>
      </w:pPr>
      <w:r>
        <w:rPr>
          <w:rFonts w:ascii="宋体" w:hAnsi="宋体" w:cs="宋体"/>
          <w:color w:val="auto"/>
          <w:sz w:val="24"/>
          <w:highlight w:val="none"/>
        </w:rPr>
        <w:t>在各投标人的有效报价中，</w:t>
      </w:r>
      <w:r>
        <w:rPr>
          <w:rFonts w:hint="eastAsia" w:ascii="宋体" w:hAnsi="宋体" w:cs="宋体"/>
          <w:color w:val="auto"/>
          <w:sz w:val="24"/>
          <w:highlight w:val="none"/>
          <w:lang w:val="en-US" w:eastAsia="zh-CN"/>
        </w:rPr>
        <w:t>以综合评分最高者</w:t>
      </w:r>
      <w:r>
        <w:rPr>
          <w:rFonts w:ascii="宋体" w:hAnsi="宋体" w:cs="宋体"/>
          <w:color w:val="auto"/>
          <w:sz w:val="24"/>
          <w:highlight w:val="none"/>
        </w:rPr>
        <w:t>的投标人为中标人。</w:t>
      </w:r>
    </w:p>
    <w:p w14:paraId="3E4F92B1">
      <w:pPr>
        <w:spacing w:line="420" w:lineRule="exact"/>
        <w:ind w:firstLine="482" w:firstLineChars="200"/>
        <w:rPr>
          <w:rFonts w:hint="eastAsia" w:ascii="宋体" w:hAnsi="宋体" w:cs="宋体"/>
          <w:b/>
          <w:bCs/>
          <w:kern w:val="0"/>
          <w:sz w:val="24"/>
          <w:lang w:val="zh-CN"/>
        </w:rPr>
      </w:pPr>
      <w:r>
        <w:rPr>
          <w:rFonts w:hint="eastAsia" w:ascii="宋体" w:hAnsi="宋体" w:cs="宋体"/>
          <w:b/>
          <w:bCs/>
          <w:kern w:val="0"/>
          <w:sz w:val="24"/>
          <w:lang w:val="en-US" w:eastAsia="zh-CN"/>
        </w:rPr>
        <w:t>四、</w:t>
      </w:r>
      <w:r>
        <w:rPr>
          <w:rFonts w:hint="eastAsia" w:ascii="宋体" w:hAnsi="宋体" w:cs="宋体"/>
          <w:b/>
          <w:bCs/>
          <w:kern w:val="0"/>
          <w:sz w:val="24"/>
          <w:lang w:val="zh-CN"/>
        </w:rPr>
        <w:t>综合评分标准：</w:t>
      </w:r>
    </w:p>
    <w:p w14:paraId="3D1997B9">
      <w:pPr>
        <w:spacing w:line="420" w:lineRule="exact"/>
        <w:ind w:firstLine="420" w:firstLineChars="200"/>
        <w:rPr>
          <w:rFonts w:hint="eastAsia" w:ascii="宋体" w:hAnsi="宋体"/>
          <w:szCs w:val="21"/>
          <w:lang w:val="zh-CN"/>
        </w:rPr>
      </w:pPr>
      <w:r>
        <w:rPr>
          <w:rFonts w:hint="eastAsia" w:ascii="宋体" w:hAnsi="宋体"/>
          <w:szCs w:val="21"/>
          <w:lang w:val="zh-CN"/>
        </w:rPr>
        <w:t>各评委成员按下列评分项目进行评判，评标委员会各成员应当独立对每个有效投标人的投标情况进行评价、打分，然后汇总每个投标人每项评分因素的得分</w:t>
      </w:r>
      <w:r>
        <w:rPr>
          <w:rFonts w:hint="eastAsia" w:ascii="宋体" w:hAnsi="宋体"/>
          <w:szCs w:val="21"/>
        </w:rPr>
        <w:t>,满分为100分</w:t>
      </w:r>
      <w:r>
        <w:rPr>
          <w:rFonts w:hint="eastAsia" w:ascii="宋体" w:hAnsi="宋体"/>
          <w:szCs w:val="21"/>
          <w:lang w:val="zh-CN"/>
        </w:rPr>
        <w:t>。各投标人的最终得分为所有评委评分的平均值（平均值计算精确至小数点后二位，小数点后第三位四舍五入）。</w:t>
      </w:r>
    </w:p>
    <w:p w14:paraId="174A118D">
      <w:pPr>
        <w:pStyle w:val="16"/>
        <w:rPr>
          <w:rFonts w:hint="eastAsia" w:ascii="宋体" w:hAnsi="宋体"/>
          <w:szCs w:val="21"/>
          <w:lang w:val="zh-CN"/>
        </w:rPr>
      </w:pPr>
    </w:p>
    <w:p w14:paraId="058E0E7B">
      <w:pPr>
        <w:rPr>
          <w:rFonts w:hint="eastAsia" w:ascii="宋体" w:hAnsi="宋体"/>
          <w:szCs w:val="21"/>
          <w:lang w:val="zh-CN"/>
        </w:rPr>
      </w:pPr>
    </w:p>
    <w:p w14:paraId="0899E3A9">
      <w:pPr>
        <w:pStyle w:val="16"/>
        <w:rPr>
          <w:rFonts w:hint="eastAsia" w:ascii="宋体" w:hAnsi="宋体"/>
          <w:szCs w:val="21"/>
          <w:lang w:val="zh-CN"/>
        </w:rPr>
      </w:pPr>
    </w:p>
    <w:p w14:paraId="530565F8">
      <w:pPr>
        <w:rPr>
          <w:rFonts w:hint="eastAsia" w:ascii="宋体" w:hAnsi="宋体"/>
          <w:szCs w:val="21"/>
          <w:lang w:val="zh-CN"/>
        </w:rPr>
      </w:pPr>
    </w:p>
    <w:p w14:paraId="5838A229">
      <w:pPr>
        <w:pStyle w:val="16"/>
        <w:rPr>
          <w:rFonts w:hint="eastAsia"/>
          <w:lang w:val="zh-CN"/>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97"/>
        <w:gridCol w:w="525"/>
        <w:gridCol w:w="5504"/>
        <w:gridCol w:w="650"/>
      </w:tblGrid>
      <w:tr w14:paraId="6FE5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79" w:type="pct"/>
            <w:noWrap w:val="0"/>
            <w:vAlign w:val="center"/>
          </w:tcPr>
          <w:p w14:paraId="47047F55">
            <w:pPr>
              <w:jc w:val="center"/>
              <w:rPr>
                <w:rFonts w:hint="eastAsia" w:ascii="宋体" w:hAnsi="宋体" w:cs="宋体"/>
                <w:b/>
                <w:bCs/>
                <w:szCs w:val="21"/>
              </w:rPr>
            </w:pPr>
            <w:r>
              <w:rPr>
                <w:rFonts w:hint="eastAsia" w:ascii="宋体" w:hAnsi="宋体" w:cs="宋体"/>
                <w:b/>
                <w:bCs/>
                <w:szCs w:val="21"/>
              </w:rPr>
              <w:t>序号</w:t>
            </w:r>
          </w:p>
        </w:tc>
        <w:tc>
          <w:tcPr>
            <w:tcW w:w="702" w:type="pct"/>
            <w:noWrap w:val="0"/>
            <w:vAlign w:val="center"/>
          </w:tcPr>
          <w:p w14:paraId="7B6A2513">
            <w:pPr>
              <w:jc w:val="center"/>
              <w:rPr>
                <w:rFonts w:hint="eastAsia" w:ascii="宋体" w:hAnsi="宋体" w:cs="宋体"/>
                <w:b/>
                <w:bCs/>
                <w:szCs w:val="21"/>
              </w:rPr>
            </w:pPr>
            <w:r>
              <w:rPr>
                <w:rFonts w:hint="eastAsia" w:ascii="宋体" w:hAnsi="宋体" w:cs="宋体"/>
                <w:b/>
                <w:bCs/>
                <w:szCs w:val="21"/>
              </w:rPr>
              <w:t>评分因素</w:t>
            </w:r>
          </w:p>
        </w:tc>
        <w:tc>
          <w:tcPr>
            <w:tcW w:w="308" w:type="pct"/>
            <w:noWrap w:val="0"/>
            <w:vAlign w:val="center"/>
          </w:tcPr>
          <w:p w14:paraId="6C3F8728">
            <w:pPr>
              <w:jc w:val="center"/>
              <w:rPr>
                <w:rFonts w:hint="eastAsia" w:ascii="宋体" w:hAnsi="宋体" w:cs="宋体"/>
                <w:b/>
                <w:bCs/>
                <w:szCs w:val="21"/>
              </w:rPr>
            </w:pPr>
            <w:r>
              <w:rPr>
                <w:rFonts w:hint="eastAsia" w:ascii="宋体" w:hAnsi="宋体" w:cs="宋体"/>
                <w:b/>
                <w:bCs/>
                <w:szCs w:val="21"/>
              </w:rPr>
              <w:t>分值</w:t>
            </w:r>
          </w:p>
        </w:tc>
        <w:tc>
          <w:tcPr>
            <w:tcW w:w="3228" w:type="pct"/>
            <w:noWrap w:val="0"/>
            <w:vAlign w:val="center"/>
          </w:tcPr>
          <w:p w14:paraId="1DC998AD">
            <w:pPr>
              <w:jc w:val="center"/>
              <w:rPr>
                <w:rFonts w:hint="eastAsia" w:ascii="宋体" w:hAnsi="宋体" w:cs="宋体"/>
                <w:b/>
                <w:bCs/>
                <w:szCs w:val="21"/>
              </w:rPr>
            </w:pPr>
            <w:r>
              <w:rPr>
                <w:rFonts w:hint="eastAsia" w:ascii="宋体" w:hAnsi="宋体" w:cs="宋体"/>
                <w:b/>
                <w:bCs/>
                <w:szCs w:val="21"/>
              </w:rPr>
              <w:t>具体内容及评分标准</w:t>
            </w:r>
          </w:p>
        </w:tc>
        <w:tc>
          <w:tcPr>
            <w:tcW w:w="381" w:type="pct"/>
            <w:noWrap w:val="0"/>
            <w:vAlign w:val="center"/>
          </w:tcPr>
          <w:p w14:paraId="244BCC0C">
            <w:pPr>
              <w:jc w:val="center"/>
              <w:rPr>
                <w:rFonts w:hint="eastAsia" w:ascii="宋体" w:hAnsi="宋体" w:cs="宋体"/>
                <w:b/>
                <w:bCs/>
                <w:szCs w:val="21"/>
              </w:rPr>
            </w:pPr>
            <w:r>
              <w:rPr>
                <w:rFonts w:hint="eastAsia" w:ascii="宋体" w:hAnsi="宋体" w:cs="宋体"/>
                <w:b/>
                <w:bCs/>
                <w:szCs w:val="21"/>
              </w:rPr>
              <w:t>得分</w:t>
            </w:r>
          </w:p>
        </w:tc>
      </w:tr>
      <w:tr w14:paraId="5B82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9" w:type="pct"/>
            <w:noWrap w:val="0"/>
            <w:vAlign w:val="center"/>
          </w:tcPr>
          <w:p w14:paraId="7D7AC4C0">
            <w:pPr>
              <w:jc w:val="center"/>
              <w:rPr>
                <w:rFonts w:ascii="宋体" w:hAnsi="宋体" w:cs="宋体"/>
                <w:szCs w:val="21"/>
              </w:rPr>
            </w:pPr>
            <w:r>
              <w:rPr>
                <w:rFonts w:hint="eastAsia" w:ascii="宋体" w:hAnsi="宋体" w:cs="宋体"/>
                <w:szCs w:val="21"/>
              </w:rPr>
              <w:t>1</w:t>
            </w:r>
          </w:p>
        </w:tc>
        <w:tc>
          <w:tcPr>
            <w:tcW w:w="702" w:type="pct"/>
            <w:noWrap w:val="0"/>
            <w:vAlign w:val="center"/>
          </w:tcPr>
          <w:p w14:paraId="6C03AED0">
            <w:pPr>
              <w:spacing w:line="380" w:lineRule="exact"/>
              <w:jc w:val="center"/>
              <w:rPr>
                <w:rFonts w:hint="eastAsia" w:ascii="宋体" w:hAnsi="宋体" w:cs="宋体"/>
                <w:szCs w:val="21"/>
              </w:rPr>
            </w:pPr>
            <w:r>
              <w:rPr>
                <w:rFonts w:hint="eastAsia" w:ascii="宋体" w:hAnsi="宋体" w:cs="宋体"/>
                <w:szCs w:val="21"/>
              </w:rPr>
              <w:t>体系认证</w:t>
            </w:r>
          </w:p>
        </w:tc>
        <w:tc>
          <w:tcPr>
            <w:tcW w:w="308" w:type="pct"/>
            <w:noWrap w:val="0"/>
            <w:vAlign w:val="center"/>
          </w:tcPr>
          <w:p w14:paraId="49DF82CA">
            <w:pPr>
              <w:jc w:val="center"/>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分</w:t>
            </w:r>
          </w:p>
        </w:tc>
        <w:tc>
          <w:tcPr>
            <w:tcW w:w="3228" w:type="pct"/>
            <w:noWrap w:val="0"/>
            <w:vAlign w:val="top"/>
          </w:tcPr>
          <w:p w14:paraId="5169D0B0">
            <w:pPr>
              <w:rPr>
                <w:rFonts w:hint="eastAsia"/>
              </w:rPr>
            </w:pPr>
            <w:r>
              <w:rPr>
                <w:rFonts w:hint="eastAsia"/>
              </w:rPr>
              <w:t>投标人具有经中国国家认证认可监督管理委员会认证机构颁发的质量管理体系QMS、环境管理体系EMS、</w:t>
            </w:r>
            <w:r>
              <w:rPr>
                <w:rFonts w:hint="eastAsia"/>
              </w:rPr>
              <w:fldChar w:fldCharType="begin"/>
            </w:r>
            <w:r>
              <w:rPr>
                <w:rFonts w:hint="eastAsia"/>
              </w:rPr>
              <w:instrText xml:space="preserve"> HYPERLINK "http://baike.baidu.com/view/2264721.htm" \t "_blank" </w:instrText>
            </w:r>
            <w:r>
              <w:rPr>
                <w:rFonts w:hint="eastAsia"/>
              </w:rPr>
              <w:fldChar w:fldCharType="separate"/>
            </w:r>
            <w:r>
              <w:rPr>
                <w:rFonts w:hint="eastAsia"/>
              </w:rPr>
              <w:t>职业安全健康管理体系</w:t>
            </w:r>
            <w:r>
              <w:rPr>
                <w:rFonts w:hint="eastAsia"/>
              </w:rPr>
              <w:fldChar w:fldCharType="end"/>
            </w:r>
            <w:r>
              <w:rPr>
                <w:rFonts w:hint="eastAsia"/>
              </w:rPr>
              <w:t>OHSMS认证证书，</w:t>
            </w:r>
            <w:r>
              <w:rPr>
                <w:rFonts w:hint="eastAsia" w:ascii="宋体" w:hAnsi="宋体" w:cs="宋体"/>
                <w:szCs w:val="21"/>
              </w:rPr>
              <w:t>且在有效期内的，每提供1个得</w:t>
            </w:r>
            <w:r>
              <w:rPr>
                <w:rFonts w:hint="eastAsia" w:ascii="宋体" w:hAnsi="宋体" w:cs="宋体"/>
                <w:szCs w:val="21"/>
                <w:lang w:val="en-US" w:eastAsia="zh-CN"/>
              </w:rPr>
              <w:t>1</w:t>
            </w:r>
            <w:r>
              <w:rPr>
                <w:rFonts w:hint="eastAsia" w:ascii="宋体" w:hAnsi="宋体" w:cs="宋体"/>
                <w:szCs w:val="21"/>
              </w:rPr>
              <w:t>分，满分</w:t>
            </w:r>
            <w:r>
              <w:rPr>
                <w:rFonts w:hint="eastAsia" w:ascii="宋体" w:hAnsi="宋体" w:cs="宋体"/>
                <w:szCs w:val="21"/>
                <w:lang w:val="en-US" w:eastAsia="zh-CN"/>
              </w:rPr>
              <w:t>3</w:t>
            </w:r>
            <w:r>
              <w:rPr>
                <w:rFonts w:hint="eastAsia" w:ascii="宋体" w:hAnsi="宋体" w:cs="宋体"/>
                <w:szCs w:val="21"/>
              </w:rPr>
              <w:t>分。</w:t>
            </w:r>
          </w:p>
          <w:p w14:paraId="5C07D823">
            <w:r>
              <w:rPr>
                <w:rFonts w:hint="eastAsia"/>
                <w:b/>
                <w:bCs/>
              </w:rPr>
              <w:t>注：须提供认证证书复印件或影印件。</w:t>
            </w:r>
          </w:p>
        </w:tc>
        <w:tc>
          <w:tcPr>
            <w:tcW w:w="381" w:type="pct"/>
            <w:noWrap w:val="0"/>
            <w:vAlign w:val="top"/>
          </w:tcPr>
          <w:p w14:paraId="6B6C5C0E">
            <w:pPr>
              <w:pStyle w:val="11"/>
              <w:rPr>
                <w:rFonts w:hint="eastAsia" w:ascii="宋体" w:hAnsi="宋体" w:cs="宋体"/>
                <w:szCs w:val="21"/>
              </w:rPr>
            </w:pPr>
          </w:p>
        </w:tc>
      </w:tr>
      <w:tr w14:paraId="6C81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79" w:type="pct"/>
            <w:noWrap w:val="0"/>
            <w:vAlign w:val="center"/>
          </w:tcPr>
          <w:p w14:paraId="037C9094">
            <w:pPr>
              <w:jc w:val="center"/>
              <w:rPr>
                <w:rFonts w:ascii="宋体" w:hAnsi="宋体" w:cs="宋体"/>
                <w:szCs w:val="21"/>
              </w:rPr>
            </w:pPr>
            <w:r>
              <w:rPr>
                <w:rFonts w:hint="eastAsia" w:ascii="宋体" w:hAnsi="宋体" w:cs="宋体"/>
                <w:szCs w:val="21"/>
              </w:rPr>
              <w:t>2</w:t>
            </w:r>
          </w:p>
        </w:tc>
        <w:tc>
          <w:tcPr>
            <w:tcW w:w="702" w:type="pct"/>
            <w:noWrap w:val="0"/>
            <w:vAlign w:val="center"/>
          </w:tcPr>
          <w:p w14:paraId="461CA379">
            <w:pPr>
              <w:spacing w:line="380" w:lineRule="exact"/>
              <w:jc w:val="center"/>
              <w:rPr>
                <w:rFonts w:hint="eastAsia" w:ascii="宋体" w:hAnsi="宋体" w:cs="宋体"/>
                <w:szCs w:val="21"/>
              </w:rPr>
            </w:pPr>
            <w:r>
              <w:rPr>
                <w:rFonts w:hint="eastAsia" w:ascii="宋体" w:hAnsi="宋体" w:cs="宋体"/>
                <w:szCs w:val="21"/>
              </w:rPr>
              <w:t>商业综合责任保险</w:t>
            </w:r>
          </w:p>
        </w:tc>
        <w:tc>
          <w:tcPr>
            <w:tcW w:w="308" w:type="pct"/>
            <w:noWrap w:val="0"/>
            <w:vAlign w:val="center"/>
          </w:tcPr>
          <w:p w14:paraId="028E0252">
            <w:pPr>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分</w:t>
            </w:r>
          </w:p>
        </w:tc>
        <w:tc>
          <w:tcPr>
            <w:tcW w:w="3228" w:type="pct"/>
            <w:noWrap w:val="0"/>
            <w:vAlign w:val="top"/>
          </w:tcPr>
          <w:p w14:paraId="39C1FB96">
            <w:pPr>
              <w:rPr>
                <w:rFonts w:hint="eastAsia" w:ascii="宋体" w:hAnsi="宋体" w:cs="宋体"/>
                <w:szCs w:val="21"/>
              </w:rPr>
            </w:pPr>
            <w:r>
              <w:rPr>
                <w:rFonts w:hint="eastAsia" w:ascii="宋体" w:hAnsi="宋体" w:cs="宋体"/>
                <w:szCs w:val="21"/>
              </w:rPr>
              <w:t>投标人为</w:t>
            </w:r>
            <w:r>
              <w:rPr>
                <w:rFonts w:hint="eastAsia" w:ascii="宋体" w:hAnsi="宋体" w:cs="宋体"/>
                <w:szCs w:val="21"/>
                <w:lang w:val="en-US" w:eastAsia="zh-CN"/>
              </w:rPr>
              <w:t>施工团队</w:t>
            </w:r>
            <w:r>
              <w:rPr>
                <w:rFonts w:hint="eastAsia" w:ascii="宋体" w:hAnsi="宋体" w:cs="宋体"/>
                <w:szCs w:val="21"/>
              </w:rPr>
              <w:t>购买商业综合责任保险的得</w:t>
            </w:r>
            <w:r>
              <w:rPr>
                <w:rFonts w:hint="eastAsia" w:ascii="宋体" w:hAnsi="宋体" w:cs="宋体"/>
                <w:szCs w:val="21"/>
                <w:lang w:val="en-US" w:eastAsia="zh-CN"/>
              </w:rPr>
              <w:t>1</w:t>
            </w:r>
            <w:r>
              <w:rPr>
                <w:rFonts w:hint="eastAsia" w:ascii="宋体" w:hAnsi="宋体" w:cs="宋体"/>
                <w:szCs w:val="21"/>
              </w:rPr>
              <w:t>分，须提供相关证明文件或复印件或影印件加盖公章，否则不得分。</w:t>
            </w:r>
          </w:p>
        </w:tc>
        <w:tc>
          <w:tcPr>
            <w:tcW w:w="381" w:type="pct"/>
            <w:noWrap w:val="0"/>
            <w:vAlign w:val="top"/>
          </w:tcPr>
          <w:p w14:paraId="626D555A">
            <w:pPr>
              <w:pStyle w:val="11"/>
              <w:rPr>
                <w:rFonts w:hint="eastAsia" w:ascii="宋体" w:hAnsi="宋体" w:cs="宋体"/>
                <w:szCs w:val="21"/>
              </w:rPr>
            </w:pPr>
          </w:p>
        </w:tc>
      </w:tr>
      <w:tr w14:paraId="6DD6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79" w:type="pct"/>
            <w:noWrap w:val="0"/>
            <w:vAlign w:val="center"/>
          </w:tcPr>
          <w:p w14:paraId="2455E4DC">
            <w:pPr>
              <w:jc w:val="center"/>
              <w:rPr>
                <w:rFonts w:ascii="宋体" w:hAnsi="宋体" w:cs="宋体"/>
                <w:szCs w:val="21"/>
              </w:rPr>
            </w:pPr>
            <w:r>
              <w:rPr>
                <w:rFonts w:hint="eastAsia" w:ascii="宋体" w:hAnsi="宋体" w:cs="宋体"/>
                <w:szCs w:val="21"/>
              </w:rPr>
              <w:t>3</w:t>
            </w:r>
          </w:p>
        </w:tc>
        <w:tc>
          <w:tcPr>
            <w:tcW w:w="702" w:type="pct"/>
            <w:noWrap w:val="0"/>
            <w:vAlign w:val="center"/>
          </w:tcPr>
          <w:p w14:paraId="36C71FB0">
            <w:pPr>
              <w:spacing w:line="380" w:lineRule="exact"/>
              <w:jc w:val="center"/>
              <w:rPr>
                <w:rFonts w:ascii="宋体" w:hAnsi="宋体" w:cs="宋体"/>
                <w:szCs w:val="21"/>
              </w:rPr>
            </w:pPr>
            <w:r>
              <w:rPr>
                <w:rFonts w:hint="eastAsia" w:ascii="宋体" w:hAnsi="宋体" w:cs="宋体"/>
                <w:szCs w:val="21"/>
                <w:lang w:val="en-US" w:eastAsia="zh-CN"/>
              </w:rPr>
              <w:t>施工</w:t>
            </w:r>
            <w:r>
              <w:rPr>
                <w:rFonts w:hint="eastAsia" w:ascii="宋体" w:hAnsi="宋体" w:cs="宋体"/>
                <w:szCs w:val="21"/>
              </w:rPr>
              <w:t>业绩</w:t>
            </w:r>
          </w:p>
        </w:tc>
        <w:tc>
          <w:tcPr>
            <w:tcW w:w="308" w:type="pct"/>
            <w:noWrap w:val="0"/>
            <w:vAlign w:val="center"/>
          </w:tcPr>
          <w:p w14:paraId="0D04B826">
            <w:pPr>
              <w:jc w:val="center"/>
              <w:rPr>
                <w:rFonts w:ascii="宋体" w:hAnsi="宋体" w:cs="宋体"/>
                <w:szCs w:val="21"/>
              </w:rPr>
            </w:pPr>
            <w:r>
              <w:rPr>
                <w:rFonts w:hint="eastAsia" w:ascii="宋体" w:hAnsi="宋体" w:cs="宋体"/>
                <w:szCs w:val="21"/>
                <w:lang w:val="en-US" w:eastAsia="zh-CN"/>
              </w:rPr>
              <w:t>30</w:t>
            </w:r>
            <w:r>
              <w:rPr>
                <w:rFonts w:hint="eastAsia" w:ascii="宋体" w:hAnsi="宋体" w:cs="宋体"/>
                <w:szCs w:val="21"/>
              </w:rPr>
              <w:t>分</w:t>
            </w:r>
          </w:p>
        </w:tc>
        <w:tc>
          <w:tcPr>
            <w:tcW w:w="3228" w:type="pct"/>
            <w:noWrap w:val="0"/>
            <w:vAlign w:val="top"/>
          </w:tcPr>
          <w:p w14:paraId="0BBA251E">
            <w:pPr>
              <w:rPr>
                <w:rFonts w:hint="eastAsia" w:ascii="宋体" w:hAnsi="宋体" w:cs="宋体"/>
                <w:szCs w:val="21"/>
              </w:rPr>
            </w:pPr>
            <w:r>
              <w:rPr>
                <w:rFonts w:hint="eastAsia" w:ascii="宋体" w:hAnsi="宋体" w:cs="宋体"/>
                <w:szCs w:val="21"/>
              </w:rPr>
              <w:t>2021年1月1日以来(以合同签订时间为准)，投标人具有</w:t>
            </w:r>
            <w:r>
              <w:rPr>
                <w:rFonts w:hint="eastAsia" w:ascii="宋体" w:hAnsi="宋体" w:cs="宋体"/>
                <w:szCs w:val="21"/>
                <w:lang w:val="en-US" w:eastAsia="zh-CN"/>
              </w:rPr>
              <w:t>相似工程业绩的施工项目</w:t>
            </w:r>
            <w:r>
              <w:rPr>
                <w:rFonts w:hint="eastAsia" w:ascii="宋体" w:hAnsi="宋体" w:cs="宋体"/>
                <w:szCs w:val="21"/>
              </w:rPr>
              <w:t>，每有一个得10分，满分</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tc>
        <w:tc>
          <w:tcPr>
            <w:tcW w:w="381" w:type="pct"/>
            <w:noWrap w:val="0"/>
            <w:vAlign w:val="top"/>
          </w:tcPr>
          <w:p w14:paraId="7579F814">
            <w:pPr>
              <w:pStyle w:val="11"/>
              <w:rPr>
                <w:rFonts w:hint="eastAsia" w:ascii="宋体" w:hAnsi="宋体" w:cs="宋体"/>
                <w:szCs w:val="21"/>
              </w:rPr>
            </w:pPr>
          </w:p>
        </w:tc>
      </w:tr>
      <w:tr w14:paraId="1A97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79" w:type="pct"/>
            <w:noWrap w:val="0"/>
            <w:vAlign w:val="center"/>
          </w:tcPr>
          <w:p w14:paraId="2B131055">
            <w:pPr>
              <w:jc w:val="center"/>
              <w:rPr>
                <w:rFonts w:ascii="宋体" w:hAnsi="宋体" w:cs="宋体"/>
                <w:szCs w:val="21"/>
              </w:rPr>
            </w:pPr>
            <w:r>
              <w:rPr>
                <w:rFonts w:hint="eastAsia" w:ascii="宋体" w:hAnsi="宋体" w:cs="宋体"/>
                <w:szCs w:val="21"/>
              </w:rPr>
              <w:t>4</w:t>
            </w:r>
          </w:p>
        </w:tc>
        <w:tc>
          <w:tcPr>
            <w:tcW w:w="702" w:type="pct"/>
            <w:noWrap w:val="0"/>
            <w:vAlign w:val="center"/>
          </w:tcPr>
          <w:p w14:paraId="53C698BE">
            <w:pPr>
              <w:spacing w:line="380" w:lineRule="exact"/>
              <w:jc w:val="center"/>
              <w:rPr>
                <w:rFonts w:hint="eastAsia" w:ascii="宋体" w:hAnsi="宋体" w:cs="宋体"/>
                <w:szCs w:val="21"/>
              </w:rPr>
            </w:pPr>
            <w:r>
              <w:rPr>
                <w:rFonts w:hint="eastAsia" w:ascii="宋体" w:hAnsi="宋体" w:cs="宋体"/>
                <w:szCs w:val="21"/>
                <w:lang w:val="en-US" w:eastAsia="zh-CN"/>
              </w:rPr>
              <w:t>总体施工</w:t>
            </w:r>
            <w:r>
              <w:rPr>
                <w:rFonts w:hint="eastAsia" w:ascii="宋体" w:hAnsi="宋体" w:cs="宋体"/>
                <w:szCs w:val="21"/>
              </w:rPr>
              <w:t>方案</w:t>
            </w:r>
          </w:p>
        </w:tc>
        <w:tc>
          <w:tcPr>
            <w:tcW w:w="308" w:type="pct"/>
            <w:noWrap w:val="0"/>
            <w:vAlign w:val="center"/>
          </w:tcPr>
          <w:p w14:paraId="4578B17A">
            <w:pPr>
              <w:jc w:val="center"/>
              <w:rPr>
                <w:rFonts w:hint="eastAsia" w:ascii="宋体" w:hAnsi="宋体" w:cs="宋体"/>
                <w:szCs w:val="21"/>
              </w:rPr>
            </w:pPr>
            <w:r>
              <w:rPr>
                <w:rFonts w:ascii="宋体" w:hAnsi="宋体" w:cs="宋体"/>
                <w:szCs w:val="21"/>
              </w:rPr>
              <w:t>1</w:t>
            </w:r>
            <w:r>
              <w:rPr>
                <w:rFonts w:hint="eastAsia" w:ascii="宋体" w:hAnsi="宋体" w:cs="宋体"/>
                <w:szCs w:val="21"/>
              </w:rPr>
              <w:t>6分</w:t>
            </w:r>
          </w:p>
        </w:tc>
        <w:tc>
          <w:tcPr>
            <w:tcW w:w="3228" w:type="pct"/>
            <w:noWrap w:val="0"/>
            <w:vAlign w:val="top"/>
          </w:tcPr>
          <w:p w14:paraId="038750DA">
            <w:pPr>
              <w:rPr>
                <w:rFonts w:hint="eastAsia" w:ascii="宋体" w:hAnsi="宋体" w:cs="宋体"/>
                <w:szCs w:val="21"/>
              </w:rPr>
            </w:pPr>
            <w:r>
              <w:rPr>
                <w:rFonts w:hint="eastAsia" w:ascii="宋体" w:hAnsi="宋体" w:cs="宋体"/>
                <w:szCs w:val="21"/>
              </w:rPr>
              <w:t>针对项目实际情况，有总体实施内容描述；施工总体设想 表述合理性、清晰程度；施工工段及流水段划分合理性、 清晰程度；工期、质量、安全、文明的标准与目标合理</w:t>
            </w:r>
          </w:p>
          <w:p w14:paraId="6D6712F2">
            <w:pPr>
              <w:rPr>
                <w:rFonts w:ascii="宋体" w:hAnsi="宋体" w:cs="宋体"/>
                <w:szCs w:val="21"/>
              </w:rPr>
            </w:pPr>
            <w:r>
              <w:rPr>
                <w:rFonts w:hint="eastAsia" w:ascii="宋体" w:hAnsi="宋体" w:cs="宋体"/>
                <w:szCs w:val="21"/>
              </w:rPr>
              <w:t xml:space="preserve">性；对该项目特殊工艺或关键工序设想合理性。（优得  </w:t>
            </w:r>
            <w:r>
              <w:rPr>
                <w:rFonts w:hint="eastAsia" w:ascii="宋体" w:hAnsi="宋体" w:cs="宋体"/>
                <w:szCs w:val="21"/>
                <w:lang w:val="en-US" w:eastAsia="zh-CN"/>
              </w:rPr>
              <w:t>12-16</w:t>
            </w:r>
            <w:r>
              <w:rPr>
                <w:rFonts w:hint="eastAsia" w:ascii="宋体" w:hAnsi="宋体" w:cs="宋体"/>
                <w:szCs w:val="21"/>
              </w:rPr>
              <w:t>分， 良得</w:t>
            </w:r>
            <w:r>
              <w:rPr>
                <w:rFonts w:hint="eastAsia" w:ascii="宋体" w:hAnsi="宋体" w:cs="宋体"/>
                <w:szCs w:val="21"/>
                <w:lang w:val="en-US" w:eastAsia="zh-CN"/>
              </w:rPr>
              <w:t>8-12</w:t>
            </w:r>
            <w:r>
              <w:rPr>
                <w:rFonts w:hint="eastAsia" w:ascii="宋体" w:hAnsi="宋体" w:cs="宋体"/>
                <w:szCs w:val="21"/>
              </w:rPr>
              <w:t xml:space="preserve"> 分，一般得 </w:t>
            </w:r>
            <w:r>
              <w:rPr>
                <w:rFonts w:hint="eastAsia" w:ascii="宋体" w:hAnsi="宋体" w:cs="宋体"/>
                <w:szCs w:val="21"/>
                <w:lang w:val="en-US" w:eastAsia="zh-CN"/>
              </w:rPr>
              <w:t>0-7</w:t>
            </w:r>
            <w:r>
              <w:rPr>
                <w:rFonts w:hint="eastAsia" w:ascii="宋体" w:hAnsi="宋体" w:cs="宋体"/>
                <w:szCs w:val="21"/>
              </w:rPr>
              <w:t>分，没有不得分）。</w:t>
            </w:r>
          </w:p>
        </w:tc>
        <w:tc>
          <w:tcPr>
            <w:tcW w:w="381" w:type="pct"/>
            <w:noWrap w:val="0"/>
            <w:vAlign w:val="top"/>
          </w:tcPr>
          <w:p w14:paraId="567C8ADB">
            <w:pPr>
              <w:pStyle w:val="11"/>
              <w:rPr>
                <w:rFonts w:hint="eastAsia" w:ascii="宋体" w:hAnsi="宋体" w:cs="宋体"/>
                <w:szCs w:val="21"/>
              </w:rPr>
            </w:pPr>
          </w:p>
        </w:tc>
      </w:tr>
      <w:tr w14:paraId="2B48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79" w:type="pct"/>
            <w:noWrap w:val="0"/>
            <w:vAlign w:val="center"/>
          </w:tcPr>
          <w:p w14:paraId="24A5685F">
            <w:pPr>
              <w:jc w:val="center"/>
              <w:rPr>
                <w:rFonts w:ascii="宋体" w:hAnsi="宋体" w:cs="宋体"/>
                <w:szCs w:val="21"/>
              </w:rPr>
            </w:pPr>
            <w:r>
              <w:rPr>
                <w:rFonts w:hint="eastAsia" w:ascii="宋体" w:hAnsi="宋体" w:cs="宋体"/>
                <w:szCs w:val="21"/>
              </w:rPr>
              <w:t>5</w:t>
            </w:r>
          </w:p>
        </w:tc>
        <w:tc>
          <w:tcPr>
            <w:tcW w:w="702" w:type="pct"/>
            <w:noWrap w:val="0"/>
            <w:vAlign w:val="center"/>
          </w:tcPr>
          <w:p w14:paraId="4F7A4EA6">
            <w:pPr>
              <w:spacing w:line="380" w:lineRule="exact"/>
              <w:jc w:val="center"/>
              <w:rPr>
                <w:rFonts w:hint="eastAsia" w:ascii="宋体" w:hAnsi="宋体" w:cs="宋体"/>
                <w:szCs w:val="21"/>
              </w:rPr>
            </w:pPr>
            <w:r>
              <w:rPr>
                <w:rFonts w:hint="eastAsia" w:ascii="宋体" w:hAnsi="宋体" w:cs="宋体"/>
                <w:szCs w:val="21"/>
              </w:rPr>
              <w:t>人员实力及技术保障</w:t>
            </w:r>
          </w:p>
        </w:tc>
        <w:tc>
          <w:tcPr>
            <w:tcW w:w="308" w:type="pct"/>
            <w:noWrap w:val="0"/>
            <w:vAlign w:val="center"/>
          </w:tcPr>
          <w:p w14:paraId="75FD82A4">
            <w:pPr>
              <w:jc w:val="center"/>
              <w:rPr>
                <w:rFonts w:hint="eastAsia" w:ascii="宋体" w:hAnsi="宋体" w:cs="宋体"/>
                <w:szCs w:val="21"/>
              </w:rPr>
            </w:pP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分</w:t>
            </w:r>
          </w:p>
        </w:tc>
        <w:tc>
          <w:tcPr>
            <w:tcW w:w="3228" w:type="pct"/>
            <w:noWrap w:val="0"/>
            <w:vAlign w:val="top"/>
          </w:tcPr>
          <w:p w14:paraId="13861DCC">
            <w:pPr>
              <w:rPr>
                <w:rFonts w:hint="eastAsia" w:ascii="宋体" w:hAnsi="宋体" w:cs="宋体"/>
                <w:szCs w:val="21"/>
              </w:rPr>
            </w:pPr>
            <w:r>
              <w:rPr>
                <w:rFonts w:hint="eastAsia" w:ascii="宋体" w:hAnsi="宋体" w:cs="宋体"/>
                <w:szCs w:val="21"/>
              </w:rPr>
              <w:t>需提供</w:t>
            </w:r>
            <w:r>
              <w:rPr>
                <w:rFonts w:hint="eastAsia" w:ascii="宋体" w:hAnsi="宋体" w:cs="宋体"/>
                <w:szCs w:val="21"/>
                <w:lang w:val="en-US" w:eastAsia="zh-CN"/>
              </w:rPr>
              <w:t>项目施工现场负责人员身份证、劳动合同</w:t>
            </w:r>
            <w:r>
              <w:rPr>
                <w:rFonts w:hint="eastAsia" w:ascii="宋体" w:hAnsi="宋体" w:cs="宋体"/>
                <w:szCs w:val="21"/>
              </w:rPr>
              <w:t>扫描件或影印件。</w:t>
            </w:r>
            <w:r>
              <w:rPr>
                <w:rFonts w:hint="eastAsia" w:ascii="宋体" w:hAnsi="宋体" w:cs="宋体"/>
                <w:b/>
                <w:bCs/>
                <w:szCs w:val="21"/>
              </w:rPr>
              <w:t>注:以上人员需提供投标人为其缴纳的近3个月社保证明及相关证书复印件或影印件，未提供或提供不全的不得分。</w:t>
            </w:r>
          </w:p>
        </w:tc>
        <w:tc>
          <w:tcPr>
            <w:tcW w:w="381" w:type="pct"/>
            <w:noWrap w:val="0"/>
            <w:vAlign w:val="top"/>
          </w:tcPr>
          <w:p w14:paraId="56CD3531">
            <w:pPr>
              <w:pStyle w:val="11"/>
              <w:rPr>
                <w:rFonts w:hint="eastAsia" w:ascii="宋体" w:hAnsi="宋体" w:cs="宋体"/>
                <w:szCs w:val="21"/>
              </w:rPr>
            </w:pPr>
          </w:p>
        </w:tc>
      </w:tr>
      <w:tr w14:paraId="4CFE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79" w:type="pct"/>
            <w:noWrap w:val="0"/>
            <w:vAlign w:val="center"/>
          </w:tcPr>
          <w:p w14:paraId="6AC4A489">
            <w:pPr>
              <w:jc w:val="center"/>
              <w:rPr>
                <w:rFonts w:ascii="宋体" w:hAnsi="宋体" w:cs="宋体"/>
                <w:szCs w:val="21"/>
              </w:rPr>
            </w:pPr>
            <w:r>
              <w:rPr>
                <w:rFonts w:hint="eastAsia" w:ascii="宋体" w:hAnsi="宋体" w:cs="宋体"/>
                <w:szCs w:val="21"/>
              </w:rPr>
              <w:t>6</w:t>
            </w:r>
          </w:p>
        </w:tc>
        <w:tc>
          <w:tcPr>
            <w:tcW w:w="702" w:type="pct"/>
            <w:noWrap w:val="0"/>
            <w:vAlign w:val="center"/>
          </w:tcPr>
          <w:p w14:paraId="627B5780">
            <w:pPr>
              <w:spacing w:line="380" w:lineRule="exact"/>
              <w:jc w:val="center"/>
              <w:rPr>
                <w:rFonts w:hint="eastAsia" w:ascii="宋体" w:hAnsi="宋体" w:cs="宋体"/>
                <w:szCs w:val="21"/>
              </w:rPr>
            </w:pPr>
            <w:r>
              <w:rPr>
                <w:rFonts w:hint="eastAsia" w:ascii="宋体" w:hAnsi="宋体" w:cs="宋体"/>
                <w:szCs w:val="21"/>
              </w:rPr>
              <w:t>应急施工措施</w:t>
            </w:r>
          </w:p>
          <w:p w14:paraId="0034C20E">
            <w:pPr>
              <w:spacing w:line="380" w:lineRule="exact"/>
              <w:jc w:val="center"/>
              <w:rPr>
                <w:rFonts w:hint="eastAsia" w:ascii="宋体" w:hAnsi="宋体" w:cs="宋体"/>
                <w:szCs w:val="21"/>
              </w:rPr>
            </w:pPr>
          </w:p>
        </w:tc>
        <w:tc>
          <w:tcPr>
            <w:tcW w:w="308" w:type="pct"/>
            <w:noWrap w:val="0"/>
            <w:vAlign w:val="center"/>
          </w:tcPr>
          <w:p w14:paraId="7CD8ACDA">
            <w:pPr>
              <w:jc w:val="center"/>
              <w:rPr>
                <w:rFonts w:ascii="宋体" w:hAnsi="宋体" w:cs="宋体"/>
                <w:szCs w:val="21"/>
              </w:rPr>
            </w:pPr>
            <w:r>
              <w:rPr>
                <w:rFonts w:ascii="宋体" w:hAnsi="宋体" w:cs="宋体"/>
                <w:szCs w:val="21"/>
              </w:rPr>
              <w:t>10</w:t>
            </w:r>
            <w:r>
              <w:rPr>
                <w:rFonts w:hint="eastAsia" w:ascii="宋体" w:hAnsi="宋体" w:cs="宋体"/>
                <w:szCs w:val="21"/>
              </w:rPr>
              <w:t>分</w:t>
            </w:r>
          </w:p>
        </w:tc>
        <w:tc>
          <w:tcPr>
            <w:tcW w:w="3228" w:type="pct"/>
            <w:noWrap w:val="0"/>
            <w:vAlign w:val="top"/>
          </w:tcPr>
          <w:p w14:paraId="6FF5710B">
            <w:pPr>
              <w:rPr>
                <w:rFonts w:ascii="宋体" w:hAnsi="宋体" w:cs="宋体"/>
                <w:szCs w:val="21"/>
              </w:rPr>
            </w:pPr>
            <w:r>
              <w:rPr>
                <w:rFonts w:ascii="宋体" w:hAnsi="宋体" w:cs="宋体"/>
                <w:szCs w:val="21"/>
              </w:rPr>
              <w:t>应急施工的应对措施；对紧急施工或维修响应时间的控 制、人员安排的合理程度。（优得</w:t>
            </w:r>
            <w:r>
              <w:rPr>
                <w:rFonts w:hint="eastAsia" w:ascii="宋体" w:hAnsi="宋体" w:cs="宋体"/>
                <w:szCs w:val="21"/>
                <w:lang w:val="en-US" w:eastAsia="zh-CN"/>
              </w:rPr>
              <w:t>6-10</w:t>
            </w:r>
            <w:r>
              <w:rPr>
                <w:rFonts w:ascii="宋体" w:hAnsi="宋体" w:cs="宋体"/>
                <w:szCs w:val="21"/>
              </w:rPr>
              <w:t xml:space="preserve">分， 良得  </w:t>
            </w:r>
            <w:r>
              <w:rPr>
                <w:rFonts w:hint="eastAsia" w:ascii="宋体" w:hAnsi="宋体" w:cs="宋体"/>
                <w:szCs w:val="21"/>
                <w:lang w:val="en-US" w:eastAsia="zh-CN"/>
              </w:rPr>
              <w:t>3-7</w:t>
            </w:r>
            <w:r>
              <w:rPr>
                <w:rFonts w:ascii="宋体" w:hAnsi="宋体" w:cs="宋体"/>
                <w:szCs w:val="21"/>
              </w:rPr>
              <w:t xml:space="preserve"> 分，一般得</w:t>
            </w:r>
            <w:r>
              <w:rPr>
                <w:rFonts w:hint="eastAsia" w:ascii="宋体" w:hAnsi="宋体" w:cs="宋体"/>
                <w:szCs w:val="21"/>
                <w:lang w:val="en-US" w:eastAsia="zh-CN"/>
              </w:rPr>
              <w:t>0-6</w:t>
            </w:r>
            <w:r>
              <w:rPr>
                <w:rFonts w:ascii="宋体" w:hAnsi="宋体" w:cs="宋体"/>
                <w:szCs w:val="21"/>
              </w:rPr>
              <w:t>分，没有不得分）</w:t>
            </w:r>
          </w:p>
        </w:tc>
        <w:tc>
          <w:tcPr>
            <w:tcW w:w="381" w:type="pct"/>
            <w:noWrap w:val="0"/>
            <w:vAlign w:val="top"/>
          </w:tcPr>
          <w:p w14:paraId="43EDA735">
            <w:pPr>
              <w:pStyle w:val="11"/>
              <w:rPr>
                <w:rFonts w:hint="eastAsia" w:ascii="宋体" w:hAnsi="宋体" w:cs="宋体"/>
                <w:szCs w:val="21"/>
              </w:rPr>
            </w:pPr>
          </w:p>
        </w:tc>
      </w:tr>
      <w:tr w14:paraId="32BC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79" w:type="pct"/>
            <w:noWrap w:val="0"/>
            <w:vAlign w:val="center"/>
          </w:tcPr>
          <w:p w14:paraId="33CB65CE">
            <w:pPr>
              <w:jc w:val="center"/>
              <w:rPr>
                <w:rFonts w:ascii="宋体" w:hAnsi="宋体" w:cs="宋体"/>
                <w:szCs w:val="21"/>
              </w:rPr>
            </w:pPr>
            <w:r>
              <w:rPr>
                <w:rFonts w:hint="eastAsia" w:ascii="宋体" w:hAnsi="宋体" w:cs="宋体"/>
                <w:szCs w:val="21"/>
              </w:rPr>
              <w:t>7</w:t>
            </w:r>
          </w:p>
        </w:tc>
        <w:tc>
          <w:tcPr>
            <w:tcW w:w="702" w:type="pct"/>
            <w:noWrap w:val="0"/>
            <w:vAlign w:val="center"/>
          </w:tcPr>
          <w:p w14:paraId="7CFFE9AE">
            <w:pPr>
              <w:spacing w:line="380" w:lineRule="exact"/>
              <w:jc w:val="center"/>
              <w:rPr>
                <w:rFonts w:hint="eastAsia" w:ascii="宋体" w:hAnsi="宋体" w:cs="宋体"/>
                <w:szCs w:val="21"/>
              </w:rPr>
            </w:pPr>
            <w:r>
              <w:rPr>
                <w:rFonts w:hint="eastAsia" w:ascii="宋体" w:hAnsi="宋体" w:cs="宋体"/>
                <w:szCs w:val="21"/>
              </w:rPr>
              <w:t>报价</w:t>
            </w:r>
          </w:p>
        </w:tc>
        <w:tc>
          <w:tcPr>
            <w:tcW w:w="308" w:type="pct"/>
            <w:noWrap w:val="0"/>
            <w:vAlign w:val="center"/>
          </w:tcPr>
          <w:p w14:paraId="69D9A2E2">
            <w:pPr>
              <w:jc w:val="center"/>
              <w:rPr>
                <w:rFonts w:hint="eastAsia" w:ascii="宋体" w:hAnsi="宋体" w:cs="宋体"/>
                <w:szCs w:val="21"/>
              </w:rPr>
            </w:pPr>
            <w:r>
              <w:rPr>
                <w:rFonts w:hint="eastAsia" w:ascii="宋体" w:hAnsi="宋体" w:cs="宋体"/>
                <w:szCs w:val="21"/>
              </w:rPr>
              <w:t>30分</w:t>
            </w:r>
          </w:p>
        </w:tc>
        <w:tc>
          <w:tcPr>
            <w:tcW w:w="3228" w:type="pct"/>
            <w:noWrap w:val="0"/>
            <w:vAlign w:val="top"/>
          </w:tcPr>
          <w:p w14:paraId="7273A118">
            <w:pPr>
              <w:rPr>
                <w:rFonts w:hint="eastAsia" w:ascii="宋体" w:hAnsi="宋体" w:cs="宋体"/>
                <w:szCs w:val="21"/>
              </w:rPr>
            </w:pPr>
            <w:r>
              <w:rPr>
                <w:rFonts w:hint="eastAsia" w:ascii="宋体" w:hAnsi="宋体" w:cs="宋体"/>
                <w:szCs w:val="21"/>
              </w:rPr>
              <w:t>（1）评标基准价的确定：评标基准价为所有有效投标人有效报价的平均值。</w:t>
            </w:r>
          </w:p>
          <w:p w14:paraId="313E25C0">
            <w:pPr>
              <w:rPr>
                <w:rFonts w:hint="eastAsia" w:ascii="宋体" w:hAnsi="宋体" w:cs="宋体"/>
                <w:szCs w:val="21"/>
              </w:rPr>
            </w:pPr>
            <w:r>
              <w:rPr>
                <w:rFonts w:hint="eastAsia" w:ascii="宋体" w:hAnsi="宋体" w:cs="宋体"/>
                <w:szCs w:val="21"/>
              </w:rPr>
              <w:t>（2）以经过初步评审确认的投标单位最终评标价与评标基准价相比，与基准价相等的得30分，每偏离+1％扣1分，每偏离-1％扣0.5分，最低得分为零，不计负分。</w:t>
            </w:r>
          </w:p>
        </w:tc>
        <w:tc>
          <w:tcPr>
            <w:tcW w:w="381" w:type="pct"/>
            <w:noWrap w:val="0"/>
            <w:vAlign w:val="top"/>
          </w:tcPr>
          <w:p w14:paraId="56F34E36">
            <w:pPr>
              <w:pStyle w:val="11"/>
              <w:rPr>
                <w:rFonts w:ascii="宋体" w:hAnsi="宋体" w:cs="宋体"/>
                <w:szCs w:val="21"/>
              </w:rPr>
            </w:pPr>
          </w:p>
        </w:tc>
      </w:tr>
    </w:tbl>
    <w:p w14:paraId="75B56A56">
      <w:pPr>
        <w:spacing w:line="420" w:lineRule="exact"/>
        <w:rPr>
          <w:rFonts w:hint="eastAsia" w:ascii="宋体" w:hAnsi="宋体"/>
          <w:b/>
          <w:bCs/>
          <w:szCs w:val="21"/>
          <w:lang w:val="zh-CN"/>
        </w:rPr>
      </w:pPr>
      <w:r>
        <w:rPr>
          <w:rFonts w:hint="eastAsia" w:ascii="宋体" w:hAnsi="宋体"/>
          <w:b/>
          <w:bCs/>
          <w:szCs w:val="21"/>
          <w:lang w:val="zh-CN"/>
        </w:rPr>
        <w:t>备注：</w:t>
      </w:r>
    </w:p>
    <w:p w14:paraId="49270983">
      <w:pPr>
        <w:spacing w:line="420" w:lineRule="exact"/>
        <w:ind w:firstLine="422" w:firstLineChars="200"/>
        <w:rPr>
          <w:rFonts w:hint="eastAsia" w:ascii="宋体" w:hAnsi="宋体"/>
          <w:b/>
          <w:bCs/>
          <w:szCs w:val="21"/>
          <w:lang w:val="zh-CN"/>
        </w:rPr>
      </w:pPr>
      <w:r>
        <w:rPr>
          <w:rFonts w:hint="eastAsia" w:ascii="宋体" w:hAnsi="宋体"/>
          <w:b/>
          <w:bCs/>
          <w:szCs w:val="21"/>
          <w:lang w:val="zh-CN"/>
        </w:rPr>
        <w:t>（1）以上评分汇总分精确至小数点后二位、小数点后第三位四舍五入。</w:t>
      </w:r>
    </w:p>
    <w:p w14:paraId="51F19F48">
      <w:pPr>
        <w:spacing w:line="420" w:lineRule="exact"/>
        <w:ind w:firstLine="422" w:firstLineChars="200"/>
        <w:rPr>
          <w:rFonts w:hint="eastAsia" w:ascii="宋体" w:hAnsi="宋体"/>
          <w:b/>
          <w:bCs/>
          <w:szCs w:val="21"/>
          <w:lang w:val="zh-CN"/>
        </w:rPr>
      </w:pPr>
      <w:r>
        <w:rPr>
          <w:rFonts w:hint="eastAsia" w:ascii="宋体" w:hAnsi="宋体"/>
          <w:b/>
          <w:bCs/>
          <w:szCs w:val="21"/>
          <w:lang w:val="zh-CN"/>
        </w:rPr>
        <w:t>（2）评委在打出主观项评分最低分或者不得分时，须书面说明理由。</w:t>
      </w:r>
    </w:p>
    <w:p w14:paraId="57265C21">
      <w:pPr>
        <w:spacing w:line="420" w:lineRule="exact"/>
        <w:ind w:firstLine="422" w:firstLineChars="200"/>
        <w:rPr>
          <w:rFonts w:hint="eastAsia" w:ascii="宋体" w:hAnsi="宋体"/>
          <w:b/>
          <w:bCs/>
          <w:szCs w:val="21"/>
          <w:lang w:val="zh-CN"/>
        </w:rPr>
      </w:pPr>
      <w:r>
        <w:rPr>
          <w:rFonts w:hint="eastAsia" w:ascii="宋体" w:hAnsi="宋体"/>
          <w:b/>
          <w:bCs/>
          <w:szCs w:val="21"/>
          <w:lang w:val="zh-CN"/>
        </w:rPr>
        <w:t>（3）投标人提供的业绩证明材料要能清晰反映业绩评分的实质内容，否则评标委员会不予认可。</w:t>
      </w:r>
    </w:p>
    <w:p w14:paraId="7C72D019">
      <w:pPr>
        <w:spacing w:line="420" w:lineRule="exact"/>
        <w:ind w:firstLine="422" w:firstLineChars="200"/>
      </w:pPr>
      <w:r>
        <w:rPr>
          <w:rFonts w:hint="eastAsia" w:ascii="宋体" w:hAnsi="宋体"/>
          <w:b/>
          <w:bCs/>
          <w:szCs w:val="21"/>
          <w:lang w:val="zh-CN"/>
        </w:rPr>
        <w:t>（4）以上评分项中要求投标人提供复印件或影印件等相关证明材料的，相关证明材料均须加盖投标人公章，否则该项均不得分。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DC97F"/>
    <w:multiLevelType w:val="singleLevel"/>
    <w:tmpl w:val="A89DC9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GZkZTRkNDBlNDM4NWI1Y2FmYmMzY2EyYmVhZWQifQ=="/>
  </w:docVars>
  <w:rsids>
    <w:rsidRoot w:val="300757F5"/>
    <w:rsid w:val="01430E95"/>
    <w:rsid w:val="0228597F"/>
    <w:rsid w:val="0AA7126A"/>
    <w:rsid w:val="0AB10AB1"/>
    <w:rsid w:val="0E7A5F9A"/>
    <w:rsid w:val="11D315AF"/>
    <w:rsid w:val="13822815"/>
    <w:rsid w:val="14C82D27"/>
    <w:rsid w:val="16436C21"/>
    <w:rsid w:val="1E1D5C20"/>
    <w:rsid w:val="1E7F2802"/>
    <w:rsid w:val="1E997573"/>
    <w:rsid w:val="20855784"/>
    <w:rsid w:val="23781300"/>
    <w:rsid w:val="25643BBA"/>
    <w:rsid w:val="26341E3D"/>
    <w:rsid w:val="2B671034"/>
    <w:rsid w:val="2CD15360"/>
    <w:rsid w:val="2D5C11EE"/>
    <w:rsid w:val="2F264149"/>
    <w:rsid w:val="300757F5"/>
    <w:rsid w:val="30D61B2C"/>
    <w:rsid w:val="336C62ED"/>
    <w:rsid w:val="336F654B"/>
    <w:rsid w:val="38F35529"/>
    <w:rsid w:val="40385F17"/>
    <w:rsid w:val="42486DBE"/>
    <w:rsid w:val="4529561E"/>
    <w:rsid w:val="46300FDF"/>
    <w:rsid w:val="47FE66AF"/>
    <w:rsid w:val="493E5A23"/>
    <w:rsid w:val="4B0D5C0B"/>
    <w:rsid w:val="4C596AD0"/>
    <w:rsid w:val="5055670C"/>
    <w:rsid w:val="522C3C23"/>
    <w:rsid w:val="54C75926"/>
    <w:rsid w:val="585070F0"/>
    <w:rsid w:val="59910D81"/>
    <w:rsid w:val="5D8279FC"/>
    <w:rsid w:val="5E334F71"/>
    <w:rsid w:val="600D2A18"/>
    <w:rsid w:val="6198332B"/>
    <w:rsid w:val="659C2241"/>
    <w:rsid w:val="68D42E7C"/>
    <w:rsid w:val="6B99520C"/>
    <w:rsid w:val="6D5211E1"/>
    <w:rsid w:val="70B23573"/>
    <w:rsid w:val="71783771"/>
    <w:rsid w:val="722851A2"/>
    <w:rsid w:val="72C54B45"/>
    <w:rsid w:val="7521699E"/>
    <w:rsid w:val="79A849DE"/>
    <w:rsid w:val="79F8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Autospacing="1" w:line="360" w:lineRule="auto"/>
      <w:jc w:val="center"/>
      <w:outlineLvl w:val="0"/>
    </w:pPr>
    <w:rPr>
      <w:rFonts w:ascii="宋体" w:hAnsi="宋体" w:eastAsia="方正小标宋简体" w:cs="宋体"/>
      <w:bCs/>
      <w:kern w:val="36"/>
      <w:sz w:val="44"/>
      <w:szCs w:val="48"/>
    </w:rPr>
  </w:style>
  <w:style w:type="paragraph" w:styleId="3">
    <w:name w:val="heading 2"/>
    <w:basedOn w:val="1"/>
    <w:next w:val="1"/>
    <w:link w:val="15"/>
    <w:semiHidden/>
    <w:unhideWhenUsed/>
    <w:qFormat/>
    <w:uiPriority w:val="0"/>
    <w:pPr>
      <w:keepNext/>
      <w:keepLines/>
      <w:spacing w:beforeLines="0" w:beforeAutospacing="0" w:afterLines="0" w:afterAutospacing="0" w:line="720" w:lineRule="exact"/>
      <w:jc w:val="center"/>
      <w:outlineLvl w:val="1"/>
    </w:pPr>
    <w:rPr>
      <w:rFonts w:ascii="Arial" w:hAnsi="Arial" w:eastAsia="黑体" w:cstheme="minorBidi"/>
      <w:b/>
      <w:sz w:val="32"/>
    </w:rPr>
  </w:style>
  <w:style w:type="paragraph" w:styleId="4">
    <w:name w:val="heading 3"/>
    <w:basedOn w:val="1"/>
    <w:next w:val="1"/>
    <w:semiHidden/>
    <w:unhideWhenUsed/>
    <w:qFormat/>
    <w:uiPriority w:val="0"/>
    <w:pPr>
      <w:keepNext/>
      <w:keepLines/>
      <w:spacing w:beforeLines="0" w:beforeAutospacing="0" w:afterLines="0" w:afterAutospacing="0" w:line="580" w:lineRule="exact"/>
      <w:outlineLvl w:val="2"/>
    </w:pPr>
    <w:rPr>
      <w:rFonts w:ascii="Arial" w:hAnsi="Arial" w:eastAsia="楷体_GB2312" w:cstheme="minorBidi"/>
      <w:b/>
      <w:sz w:val="32"/>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eastAsia="黑体"/>
      <w:b/>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rFonts w:ascii="Times New Roman" w:hAnsi="Times New Roman" w:eastAsia="仿宋" w:cs="Times New Roman"/>
      <w:b/>
    </w:rPr>
  </w:style>
  <w:style w:type="paragraph" w:styleId="8">
    <w:name w:val="Body Text"/>
    <w:basedOn w:val="1"/>
    <w:next w:val="1"/>
    <w:qFormat/>
    <w:uiPriority w:val="0"/>
    <w:rPr>
      <w:rFonts w:ascii="仿宋" w:hAnsi="仿宋" w:eastAsia="仿宋_GB2312" w:cs="仿宋"/>
      <w:sz w:val="32"/>
      <w:szCs w:val="33"/>
    </w:rPr>
  </w:style>
  <w:style w:type="paragraph" w:styleId="9">
    <w:name w:val="Body Text Indent"/>
    <w:basedOn w:val="1"/>
    <w:next w:val="10"/>
    <w:qFormat/>
    <w:uiPriority w:val="0"/>
    <w:pPr>
      <w:spacing w:line="360" w:lineRule="auto"/>
      <w:ind w:firstLine="500" w:firstLineChars="200"/>
    </w:pPr>
    <w:rPr>
      <w:rFonts w:eastAsia="仿宋_GB2312"/>
      <w:sz w:val="25"/>
    </w:rPr>
  </w:style>
  <w:style w:type="paragraph" w:styleId="10">
    <w:name w:val="envelope return"/>
    <w:basedOn w:val="1"/>
    <w:qFormat/>
    <w:uiPriority w:val="99"/>
    <w:pPr>
      <w:snapToGrid w:val="0"/>
    </w:pPr>
    <w:rPr>
      <w:rFonts w:ascii="Arial" w:hAnsi="Arial" w:cs="Arial"/>
    </w:rPr>
  </w:style>
  <w:style w:type="paragraph" w:styleId="11">
    <w:name w:val="Body Text First Indent 2"/>
    <w:basedOn w:val="9"/>
    <w:unhideWhenUsed/>
    <w:qFormat/>
    <w:uiPriority w:val="0"/>
    <w:pPr>
      <w:spacing w:after="120"/>
      <w:ind w:left="420" w:leftChars="200" w:firstLine="420" w:firstLineChars="200"/>
    </w:pPr>
    <w:rPr>
      <w:rFonts w:cs="黑体"/>
      <w:sz w:val="21"/>
      <w:szCs w:val="22"/>
    </w:rPr>
  </w:style>
  <w:style w:type="paragraph" w:customStyle="1" w:styleId="14">
    <w:name w:val="题目"/>
    <w:basedOn w:val="1"/>
    <w:qFormat/>
    <w:uiPriority w:val="0"/>
    <w:pPr>
      <w:jc w:val="center"/>
    </w:pPr>
    <w:rPr>
      <w:rFonts w:hint="eastAsia" w:ascii="方正小标宋简体" w:hAnsi="方正小标宋简体" w:eastAsia="方正小标宋简体" w:cs="方正小标宋简体"/>
      <w:sz w:val="44"/>
      <w:szCs w:val="44"/>
    </w:rPr>
  </w:style>
  <w:style w:type="character" w:customStyle="1" w:styleId="15">
    <w:name w:val="标题 2 Char"/>
    <w:link w:val="3"/>
    <w:qFormat/>
    <w:uiPriority w:val="0"/>
    <w:rPr>
      <w:rFonts w:ascii="Arial" w:hAnsi="Arial" w:eastAsia="黑体" w:cstheme="minorBidi"/>
      <w:sz w:val="32"/>
    </w:rPr>
  </w:style>
  <w:style w:type="paragraph" w:customStyle="1" w:styleId="16">
    <w:name w:val="NormalIndent"/>
    <w:basedOn w:val="1"/>
    <w:next w:val="1"/>
    <w:qFormat/>
    <w:uiPriority w:val="0"/>
    <w:pPr>
      <w:ind w:firstLine="420"/>
      <w:jc w:val="both"/>
      <w:textAlignment w:val="baseline"/>
    </w:pPr>
    <w:rPr>
      <w:kern w:val="2"/>
      <w:sz w:val="21"/>
      <w:szCs w:val="20"/>
      <w:lang w:val="en-US" w:eastAsia="zh-CN" w:bidi="ar-SA"/>
    </w:r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1923</Words>
  <Characters>1979</Characters>
  <Lines>0</Lines>
  <Paragraphs>0</Paragraphs>
  <TotalTime>10</TotalTime>
  <ScaleCrop>false</ScaleCrop>
  <LinksUpToDate>false</LinksUpToDate>
  <CharactersWithSpaces>1997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2024-08-30T00:56:00Z</dcterms:created>
  <dc:creator>Monica</dc:creator>
  <cp:lastModifiedBy>Monica</cp:lastModifiedBy>
  <dcterms:modified xsi:type="dcterms:W3CDTF">2024-09-19T08:16:01Z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36A03D2293CE4070940695E199F3EE51_13</vt:lpwstr>
  </property>
</Properties>
</file>