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34B3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评分细则</w:t>
      </w:r>
    </w:p>
    <w:p w14:paraId="76234B34">
      <w:pPr>
        <w:spacing w:line="360" w:lineRule="atLeast"/>
        <w:jc w:val="center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（数值计算结果均保留两位小数，第三位四舍五入）</w:t>
      </w:r>
    </w:p>
    <w:p w14:paraId="76234B35">
      <w:pPr>
        <w:spacing w:line="360" w:lineRule="atLeas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1.评审分值分布(满分100分)</w:t>
      </w:r>
    </w:p>
    <w:p w14:paraId="76234B36">
      <w:pPr>
        <w:spacing w:line="360" w:lineRule="atLeas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1.1商务部分（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0分）</w:t>
      </w:r>
    </w:p>
    <w:p w14:paraId="76234B37">
      <w:pPr>
        <w:spacing w:line="360" w:lineRule="atLeas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1.2技术部分（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0分）</w:t>
      </w:r>
    </w:p>
    <w:p w14:paraId="76234B38">
      <w:pPr>
        <w:spacing w:line="360" w:lineRule="atLeas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2.评审标准</w:t>
      </w:r>
    </w:p>
    <w:p w14:paraId="76234B39">
      <w:pPr>
        <w:spacing w:line="360" w:lineRule="atLeas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4"/>
        </w:rPr>
        <w:t>2.1商务标评审内容及标准（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0分）</w:t>
      </w:r>
    </w:p>
    <w:tbl>
      <w:tblPr>
        <w:tblStyle w:val="2"/>
        <w:tblW w:w="9541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718"/>
        <w:gridCol w:w="7234"/>
      </w:tblGrid>
      <w:tr w14:paraId="76234B3D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234B3A">
            <w:pPr>
              <w:spacing w:line="36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评审项目</w:t>
            </w:r>
          </w:p>
        </w:tc>
        <w:tc>
          <w:tcPr>
            <w:tcW w:w="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234B3B">
            <w:pPr>
              <w:spacing w:line="36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分值</w:t>
            </w:r>
          </w:p>
        </w:tc>
        <w:tc>
          <w:tcPr>
            <w:tcW w:w="72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234B3C">
            <w:pPr>
              <w:spacing w:line="36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依据</w:t>
            </w:r>
          </w:p>
        </w:tc>
      </w:tr>
      <w:tr w14:paraId="76234B43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234B3E">
            <w:pPr>
              <w:spacing w:line="3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投标报价</w:t>
            </w:r>
          </w:p>
        </w:tc>
        <w:tc>
          <w:tcPr>
            <w:tcW w:w="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234B3F">
            <w:pPr>
              <w:spacing w:line="3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0分</w:t>
            </w:r>
          </w:p>
        </w:tc>
        <w:tc>
          <w:tcPr>
            <w:tcW w:w="72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234B40"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1.评标基准价：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所有有效投标报价均价为评标基准价；</w:t>
            </w:r>
          </w:p>
          <w:p w14:paraId="76234B41">
            <w:pPr>
              <w:spacing w:line="3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2.投标报价得分计算：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投标报价得分＝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0×（1-（|投标报价-评标基准价|）/评标基准价），投标报价最低为0分。</w:t>
            </w:r>
          </w:p>
          <w:p w14:paraId="76234B42">
            <w:pPr>
              <w:spacing w:line="3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（注：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报价包含拆除加建结构环节费用和拆除原始结构环节费用以及总价。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</w:tr>
      <w:tr w14:paraId="76234B4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0" w:hRule="atLeast"/>
          <w:jc w:val="center"/>
        </w:trPr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234B44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企业类似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业绩</w:t>
            </w:r>
          </w:p>
        </w:tc>
        <w:tc>
          <w:tcPr>
            <w:tcW w:w="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234B45">
            <w:pPr>
              <w:spacing w:line="36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10分</w:t>
            </w:r>
          </w:p>
        </w:tc>
        <w:tc>
          <w:tcPr>
            <w:tcW w:w="72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234B46"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</w:rPr>
              <w:t>自开标之日起上推3年内，供应商具备类似项目业绩的（类似项目业绩指：拆除施工类合同，单个合同金额5万元及以上），提供业绩合同，</w:t>
            </w:r>
            <w:r>
              <w:rPr>
                <w:rFonts w:hint="eastAsia" w:ascii="仿宋" w:hAnsi="仿宋" w:eastAsia="仿宋" w:cs="仿宋"/>
                <w:b/>
                <w:bCs/>
              </w:rPr>
              <w:t>每有一项加2分，满分10分。</w:t>
            </w:r>
          </w:p>
          <w:p w14:paraId="76234B47"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注：投标文件中必须提供项目合同作为业绩证明材料，中标后原件备查，业绩时间以项目合同规定时间为准；要求提供的上述材料须能体现业绩要求的内容信息（如业绩金额、项目时间等），如无法体现上述内容的，还须提供甲方单位盖章的相关证明材料。证明材料不全或无法体现所需信息的业绩不予认可。）</w:t>
            </w:r>
          </w:p>
        </w:tc>
      </w:tr>
    </w:tbl>
    <w:p w14:paraId="76234B49">
      <w:pPr>
        <w:spacing w:line="360" w:lineRule="atLeast"/>
        <w:rPr>
          <w:rFonts w:hint="eastAsia" w:ascii="仿宋" w:hAnsi="仿宋" w:eastAsia="仿宋" w:cs="仿宋"/>
          <w:sz w:val="24"/>
        </w:rPr>
      </w:pPr>
    </w:p>
    <w:p w14:paraId="76234B4A">
      <w:pPr>
        <w:spacing w:line="360" w:lineRule="atLeas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2.2技术标评审内容及标准（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0分）</w:t>
      </w:r>
    </w:p>
    <w:tbl>
      <w:tblPr>
        <w:tblStyle w:val="3"/>
        <w:tblW w:w="9555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795"/>
        <w:gridCol w:w="7230"/>
      </w:tblGrid>
      <w:tr w14:paraId="76234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vAlign w:val="center"/>
          </w:tcPr>
          <w:p w14:paraId="76234B4B">
            <w:pPr>
              <w:spacing w:line="36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评审项目</w:t>
            </w:r>
          </w:p>
        </w:tc>
        <w:tc>
          <w:tcPr>
            <w:tcW w:w="795" w:type="dxa"/>
            <w:vAlign w:val="center"/>
          </w:tcPr>
          <w:p w14:paraId="76234B4C">
            <w:pPr>
              <w:spacing w:line="36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分值</w:t>
            </w:r>
          </w:p>
        </w:tc>
        <w:tc>
          <w:tcPr>
            <w:tcW w:w="7230" w:type="dxa"/>
            <w:vAlign w:val="center"/>
          </w:tcPr>
          <w:p w14:paraId="76234B4D">
            <w:pPr>
              <w:spacing w:line="36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依据</w:t>
            </w:r>
          </w:p>
        </w:tc>
      </w:tr>
      <w:tr w14:paraId="76234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vAlign w:val="center"/>
          </w:tcPr>
          <w:p w14:paraId="76234B4F">
            <w:pPr>
              <w:widowControl/>
              <w:autoSpaceDE w:val="0"/>
              <w:autoSpaceDN w:val="0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施工方案总体概述</w:t>
            </w:r>
          </w:p>
        </w:tc>
        <w:tc>
          <w:tcPr>
            <w:tcW w:w="795" w:type="dxa"/>
            <w:vAlign w:val="center"/>
          </w:tcPr>
          <w:p w14:paraId="76234B50">
            <w:pPr>
              <w:widowControl/>
              <w:autoSpaceDE w:val="0"/>
              <w:autoSpaceDN w:val="0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分</w:t>
            </w:r>
          </w:p>
        </w:tc>
        <w:tc>
          <w:tcPr>
            <w:tcW w:w="7230" w:type="dxa"/>
          </w:tcPr>
          <w:p w14:paraId="76234B51">
            <w:pPr>
              <w:widowControl/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针对项目实际情况，有总体实施内容描述；施工总体设想表述合理、清晰；施工安排合理、清晰；工期、质量、安全、文明标准的目标合理；对该项目的特殊工艺或关键工序设想合理。</w:t>
            </w:r>
          </w:p>
          <w:p w14:paraId="76234B52">
            <w:pPr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1.方案内容详细完整，可行性、实用性和针对性强的，得1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18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分；</w:t>
            </w:r>
          </w:p>
          <w:p w14:paraId="76234B53">
            <w:pPr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2.方案内容完整，具有可行性、实用性和针对性的，得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分；</w:t>
            </w:r>
          </w:p>
          <w:p w14:paraId="76234B54">
            <w:pPr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3.方案内容基本适合采购需求，可行性、实用性和针对性有待改善的，得1-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分；</w:t>
            </w:r>
          </w:p>
          <w:p w14:paraId="76234B55">
            <w:pPr>
              <w:widowControl/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4.方案不可行或未提供不得分。</w:t>
            </w:r>
          </w:p>
        </w:tc>
      </w:tr>
      <w:tr w14:paraId="7623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vAlign w:val="center"/>
          </w:tcPr>
          <w:p w14:paraId="76234B57">
            <w:pPr>
              <w:widowControl/>
              <w:autoSpaceDE w:val="0"/>
              <w:autoSpaceDN w:val="0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施工进度计划和各阶段进度的保证措施</w:t>
            </w:r>
          </w:p>
        </w:tc>
        <w:tc>
          <w:tcPr>
            <w:tcW w:w="795" w:type="dxa"/>
            <w:vAlign w:val="center"/>
          </w:tcPr>
          <w:p w14:paraId="76234B58">
            <w:pPr>
              <w:widowControl/>
              <w:autoSpaceDE w:val="0"/>
              <w:autoSpaceDN w:val="0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分</w:t>
            </w:r>
          </w:p>
        </w:tc>
        <w:tc>
          <w:tcPr>
            <w:tcW w:w="7230" w:type="dxa"/>
          </w:tcPr>
          <w:p w14:paraId="76234B59">
            <w:pPr>
              <w:widowControl/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针对项目实际情况，关键线路选择合理、清晰；关键节点控制措施合理；各进度节点保障措施明确。</w:t>
            </w:r>
          </w:p>
          <w:p w14:paraId="76234B5A">
            <w:pPr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1.施工进度计划和各阶段进度保证措施内容全面完整详细，可行性、实用性、针对性强的，得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分； </w:t>
            </w:r>
          </w:p>
          <w:p w14:paraId="76234B5B">
            <w:pPr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2.施工进度计划和各阶段进度保证措施内容完整详细，具有可行性、实用性和针对性的，得4-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分； </w:t>
            </w:r>
          </w:p>
          <w:p w14:paraId="76234B5C">
            <w:pPr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3.施工进度计划和各阶段进度保证措施内容可行性、实用性、针对性有待改善的，得1-3分；</w:t>
            </w:r>
          </w:p>
          <w:p w14:paraId="76234B5D">
            <w:pPr>
              <w:widowControl/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4.内容不可行或者未提供相关内容的不得分。</w:t>
            </w:r>
          </w:p>
        </w:tc>
      </w:tr>
      <w:tr w14:paraId="7623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vAlign w:val="center"/>
          </w:tcPr>
          <w:p w14:paraId="76234B5F">
            <w:pPr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人员、机械设备和材料投入计划及保证措施</w:t>
            </w:r>
          </w:p>
        </w:tc>
        <w:tc>
          <w:tcPr>
            <w:tcW w:w="795" w:type="dxa"/>
            <w:vAlign w:val="center"/>
          </w:tcPr>
          <w:p w14:paraId="76234B60">
            <w:pPr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0分</w:t>
            </w:r>
          </w:p>
        </w:tc>
        <w:tc>
          <w:tcPr>
            <w:tcW w:w="7230" w:type="dxa"/>
          </w:tcPr>
          <w:p w14:paraId="76234B61">
            <w:pPr>
              <w:widowControl/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针对项目实际情况，投入计划与进度计划呼应，满足施工需要。人员配备和机械设备配置、材料调配投入计划衔接、安排合理；各部分保证措施完善。</w:t>
            </w:r>
          </w:p>
          <w:p w14:paraId="76234B62">
            <w:pPr>
              <w:widowControl/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根据项目进度，人员、机械设备和材料投入计划及保证措施详细完整，可行性、实用性、针对性强的，得8-10分； </w:t>
            </w:r>
          </w:p>
          <w:p w14:paraId="76234B63">
            <w:pPr>
              <w:widowControl/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2.根据项目进度，人员、机械设备和材料投入及保证措施完整，具有可行性、实用性和针对性的，得4-7分； </w:t>
            </w:r>
          </w:p>
          <w:p w14:paraId="76234B64">
            <w:pPr>
              <w:widowControl/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3.根据项目进度，人员、机械设备和材料投入及保证措施可行性、实用性、针对性有待改善的，得1-3分； </w:t>
            </w:r>
          </w:p>
          <w:p w14:paraId="76234B65">
            <w:pPr>
              <w:widowControl/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4.内容不可行或者未提供相关内容的不得分。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14:paraId="7623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vAlign w:val="center"/>
          </w:tcPr>
          <w:p w14:paraId="76234B67">
            <w:pPr>
              <w:widowControl/>
              <w:autoSpaceDE w:val="0"/>
              <w:autoSpaceDN w:val="0"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安全文明措施</w:t>
            </w:r>
          </w:p>
        </w:tc>
        <w:tc>
          <w:tcPr>
            <w:tcW w:w="795" w:type="dxa"/>
            <w:vAlign w:val="center"/>
          </w:tcPr>
          <w:p w14:paraId="76234B68">
            <w:pPr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</w:rPr>
              <w:t>分</w:t>
            </w:r>
          </w:p>
        </w:tc>
        <w:tc>
          <w:tcPr>
            <w:tcW w:w="7230" w:type="dxa"/>
          </w:tcPr>
          <w:p w14:paraId="76234B69">
            <w:pPr>
              <w:widowControl/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针对项目实际情况，有相应的安全目标和保证措施，措施完整、可行、科学，适用规范正确，满足规范要求。</w:t>
            </w:r>
          </w:p>
          <w:p w14:paraId="76234B6A">
            <w:pPr>
              <w:widowControl/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1.安全文明措施内容详细完整，可行性、实用性、针对性强的，得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分； </w:t>
            </w:r>
          </w:p>
          <w:p w14:paraId="76234B6B">
            <w:pPr>
              <w:widowControl/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2.安全文明措施内容完整，具有可行性、实用性和针对性的，得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分； </w:t>
            </w:r>
          </w:p>
          <w:p w14:paraId="76234B6C">
            <w:pPr>
              <w:widowControl/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3.安全文明措施内容可行性、实用性、针对性有待改善的，得1-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分； </w:t>
            </w:r>
          </w:p>
          <w:p w14:paraId="76234B6D">
            <w:pPr>
              <w:spacing w:line="36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4.内容不可行或者未提供相关内容的不得分。</w:t>
            </w:r>
          </w:p>
        </w:tc>
      </w:tr>
      <w:tr w14:paraId="7623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vAlign w:val="center"/>
          </w:tcPr>
          <w:p w14:paraId="76234B6F">
            <w:pPr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质量保证与承诺</w:t>
            </w:r>
          </w:p>
        </w:tc>
        <w:tc>
          <w:tcPr>
            <w:tcW w:w="795" w:type="dxa"/>
            <w:vAlign w:val="center"/>
          </w:tcPr>
          <w:p w14:paraId="76234B70">
            <w:pPr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分</w:t>
            </w:r>
          </w:p>
        </w:tc>
        <w:tc>
          <w:tcPr>
            <w:tcW w:w="7230" w:type="dxa"/>
          </w:tcPr>
          <w:p w14:paraId="76234B71">
            <w:pPr>
              <w:widowControl/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针对项目实际情况，质量承诺明确，有相应的质量保证措施，措施完整、可行、科学。</w:t>
            </w:r>
          </w:p>
          <w:p w14:paraId="76234B72">
            <w:pPr>
              <w:widowControl/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1.质量保证措施和质量承诺内容详细完整，可行性、实用性、针对性强的，得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-1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分； </w:t>
            </w:r>
          </w:p>
          <w:p w14:paraId="76234B73">
            <w:pPr>
              <w:widowControl/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2.质量保证措施和质量承诺内容完整，具有可行性、实用性和针对性的，得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分； </w:t>
            </w:r>
          </w:p>
          <w:p w14:paraId="76234B74">
            <w:pPr>
              <w:widowControl/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3.质量保证措施和质量承诺内容可行性、实用性、针对性有待改善的，得1-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分； </w:t>
            </w:r>
          </w:p>
          <w:p w14:paraId="76234B75">
            <w:pPr>
              <w:widowControl/>
              <w:autoSpaceDE w:val="0"/>
              <w:autoSpaceDN w:val="0"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4.内容不可行或者未提供相关内容的不得分。</w:t>
            </w:r>
          </w:p>
          <w:p w14:paraId="76234B76">
            <w:pPr>
              <w:spacing w:line="36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76234B78">
      <w:pPr>
        <w:spacing w:line="360" w:lineRule="atLeast"/>
        <w:rPr>
          <w:rFonts w:hint="eastAsia" w:ascii="仿宋" w:hAnsi="仿宋" w:eastAsia="仿宋" w:cs="仿宋"/>
          <w:sz w:val="24"/>
        </w:rPr>
      </w:pPr>
    </w:p>
    <w:p w14:paraId="76234B79">
      <w:pPr>
        <w:spacing w:line="360" w:lineRule="atLeast"/>
        <w:rPr>
          <w:rFonts w:hint="eastAsia" w:ascii="仿宋" w:hAnsi="仿宋" w:eastAsia="仿宋" w:cs="仿宋"/>
          <w:sz w:val="24"/>
        </w:rPr>
      </w:pPr>
    </w:p>
    <w:p w14:paraId="76234B7A">
      <w:pPr>
        <w:spacing w:line="360" w:lineRule="atLeast"/>
        <w:rPr>
          <w:rFonts w:hint="eastAsia" w:ascii="仿宋" w:hAnsi="仿宋" w:eastAsia="仿宋" w:cs="仿宋"/>
          <w:sz w:val="24"/>
        </w:rPr>
      </w:pPr>
    </w:p>
    <w:p w14:paraId="76234B7B">
      <w:pPr>
        <w:spacing w:line="360" w:lineRule="atLeast"/>
        <w:rPr>
          <w:rFonts w:hint="eastAsia" w:ascii="仿宋" w:hAnsi="仿宋" w:eastAsia="仿宋" w:cs="仿宋"/>
          <w:sz w:val="24"/>
        </w:rPr>
      </w:pPr>
    </w:p>
    <w:p w14:paraId="76234B7C">
      <w:pPr>
        <w:spacing w:line="360" w:lineRule="atLeast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</w:rPr>
        <w:t>备注：</w:t>
      </w:r>
      <w:r>
        <w:rPr>
          <w:rFonts w:hint="eastAsia" w:ascii="仿宋" w:hAnsi="仿宋" w:eastAsia="仿宋" w:cs="仿宋"/>
          <w:sz w:val="24"/>
          <w:szCs w:val="21"/>
        </w:rPr>
        <w:t xml:space="preserve">当出现投标单位综合评审得分相等时，按下列顺序：“投标报价”得分高的优先；仍相同时，由评标委员会现场抽签确定顺序。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3C"/>
    <w:rsid w:val="0008433C"/>
    <w:rsid w:val="0009075B"/>
    <w:rsid w:val="003531D8"/>
    <w:rsid w:val="003C78B8"/>
    <w:rsid w:val="008B5DDB"/>
    <w:rsid w:val="00AC6D72"/>
    <w:rsid w:val="00B93F2F"/>
    <w:rsid w:val="01057174"/>
    <w:rsid w:val="0160084E"/>
    <w:rsid w:val="017C5480"/>
    <w:rsid w:val="017E2A82"/>
    <w:rsid w:val="020C008E"/>
    <w:rsid w:val="02405F8A"/>
    <w:rsid w:val="024A0BB7"/>
    <w:rsid w:val="0270686F"/>
    <w:rsid w:val="02F53218"/>
    <w:rsid w:val="03065B89"/>
    <w:rsid w:val="03125B78"/>
    <w:rsid w:val="034A7317"/>
    <w:rsid w:val="046046C1"/>
    <w:rsid w:val="05AB5E10"/>
    <w:rsid w:val="060C4B01"/>
    <w:rsid w:val="06167EA8"/>
    <w:rsid w:val="071F2612"/>
    <w:rsid w:val="077E558A"/>
    <w:rsid w:val="08C43471"/>
    <w:rsid w:val="092E2FE0"/>
    <w:rsid w:val="09866C5A"/>
    <w:rsid w:val="09975029"/>
    <w:rsid w:val="09F77876"/>
    <w:rsid w:val="0A4D56E8"/>
    <w:rsid w:val="0B291CB1"/>
    <w:rsid w:val="0B554854"/>
    <w:rsid w:val="0B7A075E"/>
    <w:rsid w:val="0B81389B"/>
    <w:rsid w:val="0CA04363"/>
    <w:rsid w:val="0E2350DD"/>
    <w:rsid w:val="0E6D45AA"/>
    <w:rsid w:val="10855BDB"/>
    <w:rsid w:val="10DE709A"/>
    <w:rsid w:val="12463148"/>
    <w:rsid w:val="12490E8B"/>
    <w:rsid w:val="135D2E40"/>
    <w:rsid w:val="136E6DFB"/>
    <w:rsid w:val="13E0137B"/>
    <w:rsid w:val="14327E28"/>
    <w:rsid w:val="1638549E"/>
    <w:rsid w:val="1706559C"/>
    <w:rsid w:val="17F378CF"/>
    <w:rsid w:val="184B770B"/>
    <w:rsid w:val="18891FE1"/>
    <w:rsid w:val="18AB01A9"/>
    <w:rsid w:val="19540841"/>
    <w:rsid w:val="19EA4D01"/>
    <w:rsid w:val="19FB0CBC"/>
    <w:rsid w:val="1B010554"/>
    <w:rsid w:val="1B5C1C2F"/>
    <w:rsid w:val="1BD25A4D"/>
    <w:rsid w:val="1C0F4EF3"/>
    <w:rsid w:val="1D835251"/>
    <w:rsid w:val="1E601A36"/>
    <w:rsid w:val="1EF02DBA"/>
    <w:rsid w:val="1F1620F4"/>
    <w:rsid w:val="1F176598"/>
    <w:rsid w:val="1F4D3D68"/>
    <w:rsid w:val="1F617814"/>
    <w:rsid w:val="1FB12B7B"/>
    <w:rsid w:val="20346CD6"/>
    <w:rsid w:val="2039253E"/>
    <w:rsid w:val="21134B3E"/>
    <w:rsid w:val="2144119B"/>
    <w:rsid w:val="217D645B"/>
    <w:rsid w:val="21C83B7A"/>
    <w:rsid w:val="21FC7CC7"/>
    <w:rsid w:val="22C97BAA"/>
    <w:rsid w:val="234B5230"/>
    <w:rsid w:val="23706277"/>
    <w:rsid w:val="23F76998"/>
    <w:rsid w:val="2419690F"/>
    <w:rsid w:val="24C820E3"/>
    <w:rsid w:val="25665B84"/>
    <w:rsid w:val="257D111F"/>
    <w:rsid w:val="261868A0"/>
    <w:rsid w:val="262D66A1"/>
    <w:rsid w:val="269C3827"/>
    <w:rsid w:val="270A69E3"/>
    <w:rsid w:val="275B2D9A"/>
    <w:rsid w:val="288B3B53"/>
    <w:rsid w:val="28DC43AF"/>
    <w:rsid w:val="28E13773"/>
    <w:rsid w:val="29714AF7"/>
    <w:rsid w:val="2A6401B8"/>
    <w:rsid w:val="2BC51EC5"/>
    <w:rsid w:val="2D8F19F0"/>
    <w:rsid w:val="2DE25FC3"/>
    <w:rsid w:val="2E864BA1"/>
    <w:rsid w:val="2EDA313F"/>
    <w:rsid w:val="2FE31C96"/>
    <w:rsid w:val="2FEA5603"/>
    <w:rsid w:val="3045283A"/>
    <w:rsid w:val="30C3032E"/>
    <w:rsid w:val="318C4BC4"/>
    <w:rsid w:val="31B1462B"/>
    <w:rsid w:val="31EB11BF"/>
    <w:rsid w:val="32A970B0"/>
    <w:rsid w:val="32F56799"/>
    <w:rsid w:val="32FF4F22"/>
    <w:rsid w:val="33557238"/>
    <w:rsid w:val="35683252"/>
    <w:rsid w:val="37904CE2"/>
    <w:rsid w:val="38402264"/>
    <w:rsid w:val="3A4122C4"/>
    <w:rsid w:val="3AA82343"/>
    <w:rsid w:val="3AB24F6F"/>
    <w:rsid w:val="3BC907C3"/>
    <w:rsid w:val="3D516CC2"/>
    <w:rsid w:val="3D605157"/>
    <w:rsid w:val="3D6C09D0"/>
    <w:rsid w:val="3DC47494"/>
    <w:rsid w:val="3E46434D"/>
    <w:rsid w:val="3E481E73"/>
    <w:rsid w:val="3E587BDC"/>
    <w:rsid w:val="3F0B2EA0"/>
    <w:rsid w:val="3F88629F"/>
    <w:rsid w:val="3FE756BB"/>
    <w:rsid w:val="40512B35"/>
    <w:rsid w:val="40E868BB"/>
    <w:rsid w:val="41994793"/>
    <w:rsid w:val="420F4A55"/>
    <w:rsid w:val="42C83582"/>
    <w:rsid w:val="438A0837"/>
    <w:rsid w:val="43AA0EDA"/>
    <w:rsid w:val="440A5A5D"/>
    <w:rsid w:val="457F1EF2"/>
    <w:rsid w:val="45EA7CB3"/>
    <w:rsid w:val="466E4440"/>
    <w:rsid w:val="47347438"/>
    <w:rsid w:val="473E02B7"/>
    <w:rsid w:val="48315D4B"/>
    <w:rsid w:val="48A26623"/>
    <w:rsid w:val="4A1946C3"/>
    <w:rsid w:val="4A443E36"/>
    <w:rsid w:val="4A851D59"/>
    <w:rsid w:val="4A8C30E7"/>
    <w:rsid w:val="4AA85A47"/>
    <w:rsid w:val="4AC90F7E"/>
    <w:rsid w:val="4AE178D7"/>
    <w:rsid w:val="4B26353C"/>
    <w:rsid w:val="4C4F261E"/>
    <w:rsid w:val="4CE865CF"/>
    <w:rsid w:val="4D782049"/>
    <w:rsid w:val="4DD03C33"/>
    <w:rsid w:val="4E4B32B9"/>
    <w:rsid w:val="4E4F6905"/>
    <w:rsid w:val="4F1F277C"/>
    <w:rsid w:val="4FAE1D52"/>
    <w:rsid w:val="4FEE65F2"/>
    <w:rsid w:val="503E6C32"/>
    <w:rsid w:val="50591CBD"/>
    <w:rsid w:val="5100038B"/>
    <w:rsid w:val="51DC4954"/>
    <w:rsid w:val="529F5982"/>
    <w:rsid w:val="52A03BD4"/>
    <w:rsid w:val="52B72CCB"/>
    <w:rsid w:val="540463E4"/>
    <w:rsid w:val="54A0435F"/>
    <w:rsid w:val="55DB1F32"/>
    <w:rsid w:val="55FB55C5"/>
    <w:rsid w:val="572B1EDA"/>
    <w:rsid w:val="57AE6D93"/>
    <w:rsid w:val="582B2191"/>
    <w:rsid w:val="584A6390"/>
    <w:rsid w:val="594A6647"/>
    <w:rsid w:val="59723DF0"/>
    <w:rsid w:val="59B30690"/>
    <w:rsid w:val="59CC52AE"/>
    <w:rsid w:val="5A44578C"/>
    <w:rsid w:val="5A8B33BB"/>
    <w:rsid w:val="5A9D30EE"/>
    <w:rsid w:val="5B0373F5"/>
    <w:rsid w:val="5B215ACE"/>
    <w:rsid w:val="5B90055D"/>
    <w:rsid w:val="5CC52489"/>
    <w:rsid w:val="5D2378DB"/>
    <w:rsid w:val="5D681792"/>
    <w:rsid w:val="5E3B6EA6"/>
    <w:rsid w:val="60C767CF"/>
    <w:rsid w:val="61677FB2"/>
    <w:rsid w:val="617701F5"/>
    <w:rsid w:val="61C947C9"/>
    <w:rsid w:val="62015D11"/>
    <w:rsid w:val="62353C0D"/>
    <w:rsid w:val="62397BA1"/>
    <w:rsid w:val="62966DA1"/>
    <w:rsid w:val="62BC3405"/>
    <w:rsid w:val="6324615B"/>
    <w:rsid w:val="63C74D38"/>
    <w:rsid w:val="64CC2606"/>
    <w:rsid w:val="65AC068A"/>
    <w:rsid w:val="664D7777"/>
    <w:rsid w:val="6683763C"/>
    <w:rsid w:val="66B45A48"/>
    <w:rsid w:val="66FB3677"/>
    <w:rsid w:val="67002A3B"/>
    <w:rsid w:val="67874F0A"/>
    <w:rsid w:val="67B0620F"/>
    <w:rsid w:val="680F22CB"/>
    <w:rsid w:val="683926A8"/>
    <w:rsid w:val="68C33D20"/>
    <w:rsid w:val="68D20407"/>
    <w:rsid w:val="69342E70"/>
    <w:rsid w:val="6A116D0D"/>
    <w:rsid w:val="6A2B7DCF"/>
    <w:rsid w:val="6AC975E8"/>
    <w:rsid w:val="6C57134F"/>
    <w:rsid w:val="6DD662A4"/>
    <w:rsid w:val="6E405E13"/>
    <w:rsid w:val="6EC407F2"/>
    <w:rsid w:val="6EE862ED"/>
    <w:rsid w:val="6F196D90"/>
    <w:rsid w:val="6F1A48B6"/>
    <w:rsid w:val="6F343BCA"/>
    <w:rsid w:val="6FC34F4E"/>
    <w:rsid w:val="6FF26DA9"/>
    <w:rsid w:val="704C4F43"/>
    <w:rsid w:val="709F32C5"/>
    <w:rsid w:val="7128150C"/>
    <w:rsid w:val="71791D68"/>
    <w:rsid w:val="71793B16"/>
    <w:rsid w:val="71BC3A02"/>
    <w:rsid w:val="71BE3C1E"/>
    <w:rsid w:val="723B0DCB"/>
    <w:rsid w:val="729F0A0A"/>
    <w:rsid w:val="72B312A9"/>
    <w:rsid w:val="732E26DE"/>
    <w:rsid w:val="74177616"/>
    <w:rsid w:val="74836A59"/>
    <w:rsid w:val="74884070"/>
    <w:rsid w:val="749B1FF5"/>
    <w:rsid w:val="74AA048A"/>
    <w:rsid w:val="75B415C0"/>
    <w:rsid w:val="763D7808"/>
    <w:rsid w:val="7657019E"/>
    <w:rsid w:val="769B62DC"/>
    <w:rsid w:val="76CC0B8C"/>
    <w:rsid w:val="7736125B"/>
    <w:rsid w:val="7746449A"/>
    <w:rsid w:val="77D71742"/>
    <w:rsid w:val="78C935D5"/>
    <w:rsid w:val="78D9133E"/>
    <w:rsid w:val="78E24696"/>
    <w:rsid w:val="79183C14"/>
    <w:rsid w:val="7A4D1FE3"/>
    <w:rsid w:val="7AA31C03"/>
    <w:rsid w:val="7AE85868"/>
    <w:rsid w:val="7B3F6A8D"/>
    <w:rsid w:val="7B8053BB"/>
    <w:rsid w:val="7BAB5214"/>
    <w:rsid w:val="7C855A65"/>
    <w:rsid w:val="7E0E1A8A"/>
    <w:rsid w:val="7E7C4C45"/>
    <w:rsid w:val="7EFB0260"/>
    <w:rsid w:val="7F0A2251"/>
    <w:rsid w:val="7F954211"/>
    <w:rsid w:val="7F9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1594</Characters>
  <Lines>52</Lines>
  <Paragraphs>54</Paragraphs>
  <TotalTime>77</TotalTime>
  <ScaleCrop>false</ScaleCrop>
  <LinksUpToDate>false</LinksUpToDate>
  <CharactersWithSpaces>1607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2025-12-04T00:14:00Z</dcterms:created>
  <dc:creator>dell</dc:creator>
  <cp:lastModifiedBy>刘斌</cp:lastModifiedBy>
  <cp:lastPrinted>2025-12-08T00:46:38Z</cp:lastPrinted>
  <dcterms:modified xsi:type="dcterms:W3CDTF">2025-12-08T08:03:57Z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eyJoZGlkIjoiYmIyOGQ1YmFmMGZkNGU1OWEzOWM3OTVjOTY0ODlmMjEiLCJ1c2VySWQiOiIxNzY1MzkzMjg3In0=</vt:lpwstr>
  </property>
  <property fmtid="{D5CDD505-2E9C-101B-9397-08002B2CF9AE}" pid="4" name="ICV">
    <vt:lpwstr>93D037FEE5DA4C649F19906ACB7EAA09_13</vt:lpwstr>
  </property>
</Properties>
</file>