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97B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竞价成交确认书</w:t>
      </w:r>
    </w:p>
    <w:p w14:paraId="008C1182"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F04844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：________________________</w:t>
      </w:r>
    </w:p>
    <w:p w14:paraId="4BA6BBDB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法定代表人：________________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73D359AD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地址：________________________</w:t>
      </w:r>
    </w:p>
    <w:p w14:paraId="7C9B62A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非机动车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现场多轮公开竞价，我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确定为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7个非机动车充电桩项目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合作运营方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，现就成交相关事宜确认如下：</w:t>
      </w:r>
    </w:p>
    <w:p w14:paraId="0A54B102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一、成交标的</w:t>
      </w:r>
    </w:p>
    <w:p w14:paraId="50BE7C6C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园区7个非机动车充电桩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D59115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二、成交核心条款</w:t>
      </w:r>
    </w:p>
    <w:p w14:paraId="27DB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合作模式：由供应商全额承担投资建设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及运营工作。</w:t>
      </w:r>
    </w:p>
    <w:p w14:paraId="488B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收益分配：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服务费分成模式，按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结算。</w:t>
      </w:r>
    </w:p>
    <w:p w14:paraId="4C29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分成比例：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充电服务费总收入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竞价的最终成交价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作为分成收益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电费由供应商承担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473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合作期限：初步约定为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年。合作期满后，若运营状况良好且符合届时园区管理要求，原合作方享有优先续约权。</w:t>
      </w:r>
    </w:p>
    <w:p w14:paraId="56EB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6041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充电桩投资、建设及运营期间的安全生产主体责任方，须承担因设备、线路、操作等直接或间接引发的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消防安全责任及相应经济损失。</w:t>
      </w:r>
    </w:p>
    <w:p w14:paraId="3B69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2）供应商应建立完善的安全管理制度和应急预案，购买足额相关责任保险，并配备充电桩使用所需的消防设施设备。</w:t>
      </w:r>
    </w:p>
    <w:p w14:paraId="3099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园区方保留对充电桩运营安全的日常监督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权利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F12803E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三、成交确认</w:t>
      </w:r>
    </w:p>
    <w:p w14:paraId="779EA8CB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本确认书作为后续招商人与最终合作方签订《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》的依据。</w:t>
      </w:r>
    </w:p>
    <w:p w14:paraId="7F6EF9C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四、后续义务</w:t>
      </w:r>
    </w:p>
    <w:p w14:paraId="4CD7FF88">
      <w:pPr>
        <w:spacing w:line="58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最终合作方需在本确认书签订后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日内，与招商人签订《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》。逾期未签订的，招商人有权取消其成交资格，没收最终承租人已缴纳的交易保证金2万元，并可按竞价结果依次递补合作方。</w:t>
      </w:r>
    </w:p>
    <w:p w14:paraId="12F49F8C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(二)最终合作方已缴纳的交易保证金自动转为《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》的履约保证金。</w:t>
      </w:r>
    </w:p>
    <w:p w14:paraId="14DF3F0B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(三)最终合作方应严格按照相关公告、竞价方案及本确认书约定，履行投资、安全管理、运营等全部义务。</w:t>
      </w:r>
    </w:p>
    <w:p w14:paraId="00DF5801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五、其他事项</w:t>
      </w:r>
    </w:p>
    <w:p w14:paraId="37A519AC">
      <w:pPr>
        <w:spacing w:line="580" w:lineRule="exact"/>
        <w:ind w:firstLine="643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本确认书自最终合作方签字盖章之日起生效，一式两份，招商人与最终合作方各执一份，具有同等法律效力。</w:t>
      </w:r>
    </w:p>
    <w:p w14:paraId="221ABFED">
      <w:pPr>
        <w:spacing w:line="580" w:lineRule="exact"/>
        <w:ind w:firstLine="643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本确认书未尽事宜，由双方在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后续签订的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芜湖神山智谷园区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非机动车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充电桩运营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合同》中进一步明确。</w:t>
      </w:r>
    </w:p>
    <w:p w14:paraId="03771C5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以下无正文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</w:p>
    <w:p w14:paraId="5E6A8BD2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2BC659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4046B31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最终合作方（盖章）：________________________</w:t>
      </w:r>
    </w:p>
    <w:p w14:paraId="77CCAAC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法定代表人或授权代表（签字）：________________</w:t>
      </w:r>
    </w:p>
    <w:p w14:paraId="778539F3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签订日期：______年____月____日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2F4C"/>
    <w:rsid w:val="00036C93"/>
    <w:rsid w:val="006B33F4"/>
    <w:rsid w:val="00710F6C"/>
    <w:rsid w:val="008E2C92"/>
    <w:rsid w:val="05CA04C7"/>
    <w:rsid w:val="07990290"/>
    <w:rsid w:val="27D45FB8"/>
    <w:rsid w:val="2BE24718"/>
    <w:rsid w:val="2C516DDE"/>
    <w:rsid w:val="2F5928BF"/>
    <w:rsid w:val="32F47F95"/>
    <w:rsid w:val="354E1DD3"/>
    <w:rsid w:val="3F6626F4"/>
    <w:rsid w:val="408A1BD6"/>
    <w:rsid w:val="474B1EFE"/>
    <w:rsid w:val="49A930DC"/>
    <w:rsid w:val="53BF4840"/>
    <w:rsid w:val="55A2228A"/>
    <w:rsid w:val="65722F4C"/>
    <w:rsid w:val="6D195181"/>
    <w:rsid w:val="709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next w:val="1"/>
    <w:qFormat/>
    <w:uiPriority w:val="0"/>
    <w:pPr>
      <w:keepNext/>
      <w:keepLines/>
      <w:spacing w:before="340" w:after="330" w:line="72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customStyle="1" w:styleId="7">
    <w:name w:val="公文正文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qFormat/>
    <w:uiPriority w:val="0"/>
    <w:pPr>
      <w:spacing w:line="720" w:lineRule="exact"/>
      <w:ind w:firstLine="880" w:firstLineChars="200"/>
    </w:pPr>
    <w:rPr>
      <w:rFonts w:hint="eastAsia" w:ascii="Times New Roman" w:hAnsi="Times New Roman" w:eastAsia="黑体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829</Words>
  <Characters>940</Characters>
  <Lines>8</Lines>
  <Paragraphs>2</Paragraphs>
  <TotalTime>14</TotalTime>
  <ScaleCrop>false</ScaleCrop>
  <LinksUpToDate>false</LinksUpToDate>
  <CharactersWithSpaces>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2025-12-02T03:30:00Z</dcterms:created>
  <dc:creator>周铭怡</dc:creator>
  <cp:lastModifiedBy>WPS_1559555384</cp:lastModifiedBy>
  <cp:lastPrinted>2026-03-02T00:33:08Z</cp:lastPrinted>
  <dcterms:modified xsi:type="dcterms:W3CDTF">2026-03-02T00:34:39Z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1ECCA202F1DF42E2A18C348FCAEA87F4_13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