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38E0" w14:textId="77777777" w:rsidR="00E1316E" w:rsidRPr="00BE6D61" w:rsidRDefault="00114D64">
      <w:pPr>
        <w:rPr>
          <w:rFonts w:ascii="Times New Roman" w:hAnsi="Times New Roman" w:cs="Times New Roman"/>
          <w:b/>
          <w:bCs/>
        </w:rPr>
      </w:pPr>
      <w:r w:rsidRPr="00BE6D61">
        <w:rPr>
          <w:rFonts w:ascii="Times New Roman" w:hAnsi="Times New Roman" w:cs="Times New Roman"/>
          <w:b/>
          <w:bCs/>
        </w:rPr>
        <w:t>酒店</w:t>
      </w:r>
      <w:r w:rsidRPr="00BE6D61">
        <w:rPr>
          <w:rFonts w:ascii="Times New Roman" w:eastAsia="宋体" w:hAnsi="Times New Roman" w:cs="Times New Roman"/>
          <w:b/>
          <w:bCs/>
          <w:szCs w:val="22"/>
        </w:rPr>
        <w:t>化学</w:t>
      </w:r>
      <w:r w:rsidRPr="00BE6D61">
        <w:rPr>
          <w:rFonts w:ascii="Times New Roman" w:hAnsi="Times New Roman" w:cs="Times New Roman"/>
          <w:b/>
          <w:bCs/>
        </w:rPr>
        <w:t>药剂</w:t>
      </w:r>
      <w:r w:rsidRPr="00BE6D61">
        <w:rPr>
          <w:rFonts w:ascii="Times New Roman" w:eastAsia="宋体" w:hAnsi="Times New Roman" w:cs="Times New Roman"/>
          <w:b/>
          <w:bCs/>
          <w:szCs w:val="22"/>
        </w:rPr>
        <w:t>及洗衣房小型工具评</w:t>
      </w:r>
      <w:r w:rsidRPr="00BE6D61">
        <w:rPr>
          <w:rFonts w:ascii="Times New Roman" w:hAnsi="Times New Roman" w:cs="Times New Roman"/>
          <w:b/>
          <w:bCs/>
        </w:rPr>
        <w:t>分标准及评分办法</w:t>
      </w:r>
    </w:p>
    <w:p w14:paraId="3F9B38E1" w14:textId="77777777" w:rsidR="00E1316E" w:rsidRPr="00BE6D61" w:rsidRDefault="00114D64">
      <w:pPr>
        <w:rPr>
          <w:rFonts w:ascii="Times New Roman" w:hAnsi="Times New Roman" w:cs="Times New Roman"/>
        </w:rPr>
      </w:pPr>
      <w:r w:rsidRPr="00BE6D61">
        <w:rPr>
          <w:rFonts w:ascii="Times New Roman" w:hAnsi="Times New Roman" w:cs="Times New Roman"/>
        </w:rPr>
        <w:t>本次评标采用</w:t>
      </w:r>
      <w:r w:rsidRPr="00BE6D61">
        <w:rPr>
          <w:rFonts w:ascii="Times New Roman" w:hAnsi="Times New Roman" w:cs="Times New Roman"/>
          <w:b/>
          <w:bCs/>
        </w:rPr>
        <w:t>综合评分法</w:t>
      </w:r>
      <w:r w:rsidRPr="00BE6D61">
        <w:rPr>
          <w:rFonts w:ascii="Times New Roman" w:hAnsi="Times New Roman" w:cs="Times New Roman"/>
        </w:rPr>
        <w:t>。满分</w:t>
      </w:r>
      <w:r w:rsidRPr="00BE6D61">
        <w:rPr>
          <w:rFonts w:ascii="Times New Roman" w:hAnsi="Times New Roman" w:cs="Times New Roman"/>
        </w:rPr>
        <w:t>100</w:t>
      </w:r>
      <w:r w:rsidRPr="00BE6D61">
        <w:rPr>
          <w:rFonts w:ascii="Times New Roman" w:hAnsi="Times New Roman" w:cs="Times New Roman"/>
        </w:rPr>
        <w:t>分，由</w:t>
      </w:r>
      <w:r w:rsidRPr="00BE6D61">
        <w:rPr>
          <w:rFonts w:ascii="Times New Roman" w:hAnsi="Times New Roman" w:cs="Times New Roman"/>
          <w:b/>
          <w:bCs/>
        </w:rPr>
        <w:t>商务部分</w:t>
      </w:r>
      <w:r w:rsidRPr="00BE6D61">
        <w:rPr>
          <w:rFonts w:ascii="Times New Roman" w:hAnsi="Times New Roman" w:cs="Times New Roman"/>
        </w:rPr>
        <w:t>和</w:t>
      </w:r>
      <w:r w:rsidRPr="00BE6D61">
        <w:rPr>
          <w:rFonts w:ascii="Times New Roman" w:hAnsi="Times New Roman" w:cs="Times New Roman"/>
          <w:b/>
          <w:bCs/>
        </w:rPr>
        <w:t>技术部分</w:t>
      </w:r>
      <w:r w:rsidRPr="00BE6D61">
        <w:rPr>
          <w:rFonts w:ascii="Times New Roman" w:hAnsi="Times New Roman" w:cs="Times New Roman"/>
        </w:rPr>
        <w:t>两部分构成。</w:t>
      </w:r>
    </w:p>
    <w:p w14:paraId="3F9B38E2" w14:textId="77777777" w:rsidR="00E1316E" w:rsidRPr="00BE6D61" w:rsidRDefault="00114D64">
      <w:pPr>
        <w:rPr>
          <w:rFonts w:ascii="Times New Roman" w:hAnsi="Times New Roman" w:cs="Times New Roman"/>
          <w:b/>
          <w:bCs/>
        </w:rPr>
      </w:pPr>
      <w:r w:rsidRPr="00BE6D61">
        <w:rPr>
          <w:rFonts w:ascii="Times New Roman" w:hAnsi="Times New Roman" w:cs="Times New Roman"/>
          <w:b/>
          <w:bCs/>
        </w:rPr>
        <w:t>三、</w:t>
      </w:r>
      <w:r w:rsidRPr="00BE6D61">
        <w:rPr>
          <w:rFonts w:ascii="Times New Roman" w:hAnsi="Times New Roman" w:cs="Times New Roman"/>
          <w:b/>
          <w:bCs/>
        </w:rPr>
        <w:t xml:space="preserve"> </w:t>
      </w:r>
      <w:r w:rsidRPr="00BE6D61">
        <w:rPr>
          <w:rFonts w:ascii="Times New Roman" w:hAnsi="Times New Roman" w:cs="Times New Roman"/>
          <w:b/>
          <w:bCs/>
        </w:rPr>
        <w:t>评分标准明细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134"/>
        <w:gridCol w:w="5891"/>
      </w:tblGrid>
      <w:tr w:rsidR="00E1316E" w:rsidRPr="00BE6D61" w14:paraId="3F9B38E6" w14:textId="77777777">
        <w:trPr>
          <w:tblHeader/>
        </w:trPr>
        <w:tc>
          <w:tcPr>
            <w:tcW w:w="1271" w:type="dxa"/>
            <w:tcMar>
              <w:top w:w="150" w:type="dxa"/>
              <w:left w:w="0" w:type="dxa"/>
              <w:bottom w:w="150" w:type="dxa"/>
              <w:right w:w="240" w:type="dxa"/>
            </w:tcMar>
            <w:vAlign w:val="center"/>
          </w:tcPr>
          <w:p w14:paraId="3F9B38E3" w14:textId="77777777" w:rsidR="00E1316E" w:rsidRPr="00BE6D61" w:rsidRDefault="00114D64">
            <w:pPr>
              <w:rPr>
                <w:rFonts w:ascii="Times New Roman" w:hAnsi="Times New Roman" w:cs="Times New Roman"/>
              </w:rPr>
            </w:pPr>
            <w:r w:rsidRPr="00BE6D61">
              <w:rPr>
                <w:rFonts w:ascii="Times New Roman" w:hAnsi="Times New Roman" w:cs="Times New Roman"/>
                <w:b/>
                <w:bCs/>
              </w:rPr>
              <w:t>评分因素</w:t>
            </w:r>
          </w:p>
        </w:tc>
        <w:tc>
          <w:tcPr>
            <w:tcW w:w="1134" w:type="dxa"/>
            <w:tcMar>
              <w:top w:w="150" w:type="dxa"/>
              <w:left w:w="240" w:type="dxa"/>
              <w:bottom w:w="150" w:type="dxa"/>
              <w:right w:w="240" w:type="dxa"/>
            </w:tcMar>
            <w:vAlign w:val="center"/>
          </w:tcPr>
          <w:p w14:paraId="3F9B38E4" w14:textId="77777777" w:rsidR="00E1316E" w:rsidRPr="00BE6D61" w:rsidRDefault="00114D64">
            <w:pPr>
              <w:rPr>
                <w:rFonts w:ascii="Times New Roman" w:hAnsi="Times New Roman" w:cs="Times New Roman"/>
              </w:rPr>
            </w:pPr>
            <w:r w:rsidRPr="00BE6D61">
              <w:rPr>
                <w:rFonts w:ascii="Times New Roman" w:hAnsi="Times New Roman" w:cs="Times New Roman"/>
                <w:b/>
                <w:bCs/>
              </w:rPr>
              <w:t>分值</w:t>
            </w:r>
          </w:p>
        </w:tc>
        <w:tc>
          <w:tcPr>
            <w:tcW w:w="5891" w:type="dxa"/>
            <w:tcMar>
              <w:top w:w="150" w:type="dxa"/>
              <w:left w:w="240" w:type="dxa"/>
              <w:bottom w:w="150" w:type="dxa"/>
              <w:right w:w="240" w:type="dxa"/>
            </w:tcMar>
            <w:vAlign w:val="center"/>
          </w:tcPr>
          <w:p w14:paraId="3F9B38E5" w14:textId="77777777" w:rsidR="00E1316E" w:rsidRPr="00BE6D61" w:rsidRDefault="00114D64">
            <w:pPr>
              <w:rPr>
                <w:rFonts w:ascii="Times New Roman" w:hAnsi="Times New Roman" w:cs="Times New Roman"/>
              </w:rPr>
            </w:pPr>
            <w:r w:rsidRPr="00BE6D61">
              <w:rPr>
                <w:rFonts w:ascii="Times New Roman" w:hAnsi="Times New Roman" w:cs="Times New Roman"/>
                <w:b/>
                <w:bCs/>
              </w:rPr>
              <w:t>评分细则</w:t>
            </w:r>
          </w:p>
        </w:tc>
      </w:tr>
      <w:tr w:rsidR="00E1316E" w:rsidRPr="00BE6D61" w14:paraId="3F9B38EA" w14:textId="77777777">
        <w:tc>
          <w:tcPr>
            <w:tcW w:w="1271" w:type="dxa"/>
            <w:tcMar>
              <w:top w:w="150" w:type="dxa"/>
              <w:left w:w="0" w:type="dxa"/>
              <w:bottom w:w="150" w:type="dxa"/>
              <w:right w:w="240" w:type="dxa"/>
            </w:tcMar>
            <w:vAlign w:val="center"/>
          </w:tcPr>
          <w:p w14:paraId="3F9B38E7" w14:textId="77777777" w:rsidR="00E1316E" w:rsidRPr="00BE6D61" w:rsidRDefault="00114D64">
            <w:pPr>
              <w:rPr>
                <w:rFonts w:ascii="Times New Roman" w:hAnsi="Times New Roman" w:cs="Times New Roman"/>
              </w:rPr>
            </w:pPr>
            <w:r w:rsidRPr="00BE6D61">
              <w:rPr>
                <w:rFonts w:ascii="Times New Roman" w:hAnsi="Times New Roman" w:cs="Times New Roman"/>
                <w:b/>
                <w:bCs/>
              </w:rPr>
              <w:t>商务部分</w:t>
            </w:r>
          </w:p>
        </w:tc>
        <w:tc>
          <w:tcPr>
            <w:tcW w:w="1134" w:type="dxa"/>
            <w:tcMar>
              <w:top w:w="150" w:type="dxa"/>
              <w:left w:w="240" w:type="dxa"/>
              <w:bottom w:w="150" w:type="dxa"/>
              <w:right w:w="240" w:type="dxa"/>
            </w:tcMar>
            <w:vAlign w:val="center"/>
          </w:tcPr>
          <w:p w14:paraId="3F9B38E8" w14:textId="77777777" w:rsidR="00E1316E" w:rsidRPr="00BE6D61" w:rsidRDefault="00114D64">
            <w:pPr>
              <w:rPr>
                <w:rFonts w:ascii="Times New Roman" w:hAnsi="Times New Roman" w:cs="Times New Roman"/>
              </w:rPr>
            </w:pPr>
            <w:r w:rsidRPr="00BE6D61">
              <w:rPr>
                <w:rFonts w:ascii="Times New Roman" w:hAnsi="Times New Roman" w:cs="Times New Roman"/>
                <w:b/>
                <w:bCs/>
              </w:rPr>
              <w:t>75</w:t>
            </w:r>
            <w:r w:rsidRPr="00BE6D61">
              <w:rPr>
                <w:rFonts w:ascii="Times New Roman" w:hAnsi="Times New Roman" w:cs="Times New Roman"/>
                <w:b/>
                <w:bCs/>
              </w:rPr>
              <w:t>分</w:t>
            </w:r>
          </w:p>
        </w:tc>
        <w:tc>
          <w:tcPr>
            <w:tcW w:w="5891" w:type="dxa"/>
            <w:tcMar>
              <w:top w:w="150" w:type="dxa"/>
              <w:left w:w="240" w:type="dxa"/>
              <w:bottom w:w="150" w:type="dxa"/>
              <w:right w:w="0" w:type="dxa"/>
            </w:tcMar>
            <w:vAlign w:val="center"/>
          </w:tcPr>
          <w:p w14:paraId="3F9B38E9" w14:textId="77777777" w:rsidR="00E1316E" w:rsidRPr="00BE6D61" w:rsidRDefault="00E1316E">
            <w:pPr>
              <w:rPr>
                <w:rFonts w:ascii="Times New Roman" w:hAnsi="Times New Roman" w:cs="Times New Roman"/>
              </w:rPr>
            </w:pPr>
          </w:p>
        </w:tc>
      </w:tr>
      <w:tr w:rsidR="00E1316E" w:rsidRPr="00BE6D61" w14:paraId="3F9B38EE" w14:textId="77777777">
        <w:trPr>
          <w:trHeight w:val="2029"/>
        </w:trPr>
        <w:tc>
          <w:tcPr>
            <w:tcW w:w="1271" w:type="dxa"/>
            <w:tcMar>
              <w:top w:w="150" w:type="dxa"/>
              <w:left w:w="0" w:type="dxa"/>
              <w:bottom w:w="150" w:type="dxa"/>
              <w:right w:w="240" w:type="dxa"/>
            </w:tcMar>
            <w:vAlign w:val="center"/>
          </w:tcPr>
          <w:p w14:paraId="3F9B38EB" w14:textId="77777777" w:rsidR="00E1316E" w:rsidRPr="00BE6D61" w:rsidRDefault="00114D64">
            <w:pPr>
              <w:rPr>
                <w:rFonts w:ascii="Times New Roman" w:hAnsi="Times New Roman" w:cs="Times New Roman"/>
              </w:rPr>
            </w:pPr>
            <w:r w:rsidRPr="00BE6D61">
              <w:rPr>
                <w:rFonts w:ascii="Times New Roman" w:hAnsi="Times New Roman" w:cs="Times New Roman"/>
              </w:rPr>
              <w:t>1.</w:t>
            </w:r>
            <w:r w:rsidRPr="00BE6D61">
              <w:rPr>
                <w:rFonts w:ascii="Times New Roman" w:hAnsi="Times New Roman" w:cs="Times New Roman"/>
              </w:rPr>
              <w:t>企业业绩</w:t>
            </w:r>
          </w:p>
        </w:tc>
        <w:tc>
          <w:tcPr>
            <w:tcW w:w="1134" w:type="dxa"/>
            <w:tcMar>
              <w:top w:w="150" w:type="dxa"/>
              <w:left w:w="240" w:type="dxa"/>
              <w:bottom w:w="150" w:type="dxa"/>
              <w:right w:w="240" w:type="dxa"/>
            </w:tcMar>
            <w:vAlign w:val="center"/>
          </w:tcPr>
          <w:p w14:paraId="3F9B38EC" w14:textId="77777777" w:rsidR="00E1316E" w:rsidRPr="00BE6D61" w:rsidRDefault="00114D64">
            <w:pPr>
              <w:rPr>
                <w:rFonts w:ascii="Times New Roman" w:hAnsi="Times New Roman" w:cs="Times New Roman"/>
              </w:rPr>
            </w:pPr>
            <w:r w:rsidRPr="00BE6D61">
              <w:rPr>
                <w:rFonts w:ascii="Times New Roman" w:hAnsi="Times New Roman" w:cs="Times New Roman"/>
              </w:rPr>
              <w:t>0-15</w:t>
            </w:r>
            <w:r w:rsidRPr="00BE6D61">
              <w:rPr>
                <w:rFonts w:ascii="Times New Roman" w:hAnsi="Times New Roman" w:cs="Times New Roman"/>
              </w:rPr>
              <w:t>分</w:t>
            </w:r>
          </w:p>
        </w:tc>
        <w:tc>
          <w:tcPr>
            <w:tcW w:w="5891" w:type="dxa"/>
            <w:tcMar>
              <w:top w:w="150" w:type="dxa"/>
              <w:left w:w="240" w:type="dxa"/>
              <w:bottom w:w="150" w:type="dxa"/>
              <w:right w:w="0" w:type="dxa"/>
            </w:tcMar>
            <w:vAlign w:val="center"/>
          </w:tcPr>
          <w:p w14:paraId="3F9B38ED" w14:textId="77777777" w:rsidR="00E1316E" w:rsidRPr="00BE6D61" w:rsidRDefault="00114D64">
            <w:pPr>
              <w:rPr>
                <w:rFonts w:ascii="Times New Roman" w:hAnsi="Times New Roman" w:cs="Times New Roman"/>
              </w:rPr>
            </w:pPr>
            <w:r w:rsidRPr="00BE6D61">
              <w:rPr>
                <w:rFonts w:ascii="Times New Roman" w:hAnsi="Times New Roman" w:cs="Times New Roman"/>
              </w:rPr>
              <w:t>提供近三年内（</w:t>
            </w:r>
            <w:r w:rsidRPr="00BE6D61">
              <w:rPr>
                <w:rFonts w:ascii="Times New Roman" w:hAnsi="Times New Roman" w:cs="Times New Roman"/>
              </w:rPr>
              <w:t>2023</w:t>
            </w:r>
            <w:r w:rsidRPr="00BE6D61">
              <w:rPr>
                <w:rFonts w:ascii="Times New Roman" w:hAnsi="Times New Roman" w:cs="Times New Roman"/>
              </w:rPr>
              <w:t>年</w:t>
            </w:r>
            <w:r w:rsidRPr="00BE6D61">
              <w:rPr>
                <w:rFonts w:ascii="Times New Roman" w:hAnsi="Times New Roman" w:cs="Times New Roman"/>
              </w:rPr>
              <w:t>1</w:t>
            </w:r>
            <w:r w:rsidRPr="00BE6D61">
              <w:rPr>
                <w:rFonts w:ascii="Times New Roman" w:hAnsi="Times New Roman" w:cs="Times New Roman"/>
              </w:rPr>
              <w:t>月</w:t>
            </w:r>
            <w:r w:rsidRPr="00BE6D61">
              <w:rPr>
                <w:rFonts w:ascii="Times New Roman" w:hAnsi="Times New Roman" w:cs="Times New Roman"/>
              </w:rPr>
              <w:t>1</w:t>
            </w:r>
            <w:r w:rsidRPr="00BE6D61">
              <w:rPr>
                <w:rFonts w:ascii="Times New Roman" w:hAnsi="Times New Roman" w:cs="Times New Roman"/>
              </w:rPr>
              <w:t>日至今）承接酒店的洗涤药剂供货、安装及调试合同。</w:t>
            </w:r>
            <w:r w:rsidRPr="00BE6D61">
              <w:rPr>
                <w:rFonts w:ascii="Times New Roman" w:hAnsi="Times New Roman" w:cs="Times New Roman"/>
              </w:rPr>
              <w:br/>
            </w:r>
            <w:r w:rsidRPr="00BE6D61">
              <w:rPr>
                <w:rFonts w:ascii="Times New Roman" w:hAnsi="Times New Roman" w:cs="Times New Roman"/>
              </w:rPr>
              <w:t>每提供</w:t>
            </w:r>
            <w:r w:rsidRPr="00BE6D61">
              <w:rPr>
                <w:rFonts w:ascii="Times New Roman" w:hAnsi="Times New Roman" w:cs="Times New Roman"/>
              </w:rPr>
              <w:t>1</w:t>
            </w:r>
            <w:r w:rsidRPr="00BE6D61">
              <w:rPr>
                <w:rFonts w:ascii="Times New Roman" w:hAnsi="Times New Roman" w:cs="Times New Roman"/>
              </w:rPr>
              <w:t>份有效合同得</w:t>
            </w:r>
            <w:r w:rsidRPr="00BE6D61">
              <w:rPr>
                <w:rFonts w:ascii="Times New Roman" w:hAnsi="Times New Roman" w:cs="Times New Roman"/>
              </w:rPr>
              <w:t>3</w:t>
            </w:r>
            <w:r w:rsidRPr="00BE6D61">
              <w:rPr>
                <w:rFonts w:ascii="Times New Roman" w:hAnsi="Times New Roman" w:cs="Times New Roman"/>
              </w:rPr>
              <w:t>分，最高得</w:t>
            </w:r>
            <w:r w:rsidRPr="00BE6D61">
              <w:rPr>
                <w:rFonts w:ascii="Times New Roman" w:hAnsi="Times New Roman" w:cs="Times New Roman"/>
              </w:rPr>
              <w:t>15</w:t>
            </w:r>
            <w:r w:rsidRPr="00BE6D61">
              <w:rPr>
                <w:rFonts w:ascii="Times New Roman" w:hAnsi="Times New Roman" w:cs="Times New Roman"/>
              </w:rPr>
              <w:t>分。</w:t>
            </w:r>
            <w:r w:rsidRPr="00BE6D61">
              <w:rPr>
                <w:rFonts w:ascii="Times New Roman" w:hAnsi="Times New Roman" w:cs="Times New Roman"/>
              </w:rPr>
              <w:br/>
            </w:r>
            <w:r w:rsidRPr="00BE6D61">
              <w:rPr>
                <w:rFonts w:ascii="Times New Roman" w:hAnsi="Times New Roman" w:cs="Times New Roman"/>
              </w:rPr>
              <w:t>（须提供合同关键页复印件，</w:t>
            </w:r>
            <w:proofErr w:type="gramStart"/>
            <w:r w:rsidRPr="00BE6D61">
              <w:rPr>
                <w:rFonts w:ascii="Times New Roman" w:hAnsi="Times New Roman" w:cs="Times New Roman"/>
              </w:rPr>
              <w:t>含合同</w:t>
            </w:r>
            <w:proofErr w:type="gramEnd"/>
            <w:r w:rsidRPr="00BE6D61">
              <w:rPr>
                <w:rFonts w:ascii="Times New Roman" w:hAnsi="Times New Roman" w:cs="Times New Roman"/>
              </w:rPr>
              <w:t>双方、项目内容、签订日期、金额及签章，否则不予计分。）</w:t>
            </w:r>
          </w:p>
        </w:tc>
      </w:tr>
      <w:tr w:rsidR="00E1316E" w:rsidRPr="00BE6D61" w14:paraId="3F9B38F7" w14:textId="77777777">
        <w:trPr>
          <w:trHeight w:val="1670"/>
        </w:trPr>
        <w:tc>
          <w:tcPr>
            <w:tcW w:w="1271" w:type="dxa"/>
            <w:tcMar>
              <w:top w:w="150" w:type="dxa"/>
              <w:left w:w="0" w:type="dxa"/>
              <w:bottom w:w="150" w:type="dxa"/>
              <w:right w:w="240" w:type="dxa"/>
            </w:tcMar>
            <w:vAlign w:val="center"/>
          </w:tcPr>
          <w:p w14:paraId="3F9B38EF" w14:textId="77777777" w:rsidR="00E1316E" w:rsidRPr="00BE6D61" w:rsidRDefault="00114D64">
            <w:pPr>
              <w:rPr>
                <w:rFonts w:ascii="Times New Roman" w:eastAsia="宋体" w:hAnsi="Times New Roman" w:cs="Times New Roman"/>
              </w:rPr>
            </w:pPr>
            <w:r w:rsidRPr="00BE6D61">
              <w:rPr>
                <w:rFonts w:ascii="Times New Roman" w:eastAsia="宋体" w:hAnsi="Times New Roman" w:cs="Times New Roman"/>
              </w:rPr>
              <w:t>2.</w:t>
            </w:r>
            <w:r w:rsidRPr="00BE6D61">
              <w:rPr>
                <w:rFonts w:ascii="Times New Roman" w:eastAsia="宋体" w:hAnsi="Times New Roman" w:cs="Times New Roman"/>
              </w:rPr>
              <w:t>投标报价</w:t>
            </w:r>
          </w:p>
        </w:tc>
        <w:tc>
          <w:tcPr>
            <w:tcW w:w="1134" w:type="dxa"/>
            <w:tcMar>
              <w:top w:w="150" w:type="dxa"/>
              <w:left w:w="240" w:type="dxa"/>
              <w:bottom w:w="150" w:type="dxa"/>
              <w:right w:w="240" w:type="dxa"/>
            </w:tcMar>
            <w:vAlign w:val="center"/>
          </w:tcPr>
          <w:p w14:paraId="3F9B38F0" w14:textId="77777777" w:rsidR="00E1316E" w:rsidRPr="00BE6D61" w:rsidRDefault="00114D64">
            <w:pPr>
              <w:rPr>
                <w:rFonts w:ascii="Times New Roman" w:eastAsia="宋体" w:hAnsi="Times New Roman" w:cs="Times New Roman"/>
              </w:rPr>
            </w:pPr>
            <w:r w:rsidRPr="00BE6D61">
              <w:rPr>
                <w:rFonts w:ascii="Times New Roman" w:eastAsia="宋体" w:hAnsi="Times New Roman" w:cs="Times New Roman"/>
              </w:rPr>
              <w:t>60</w:t>
            </w:r>
            <w:r w:rsidRPr="00BE6D61">
              <w:rPr>
                <w:rFonts w:ascii="Times New Roman" w:eastAsia="宋体" w:hAnsi="Times New Roman" w:cs="Times New Roman"/>
              </w:rPr>
              <w:t>分</w:t>
            </w:r>
          </w:p>
        </w:tc>
        <w:tc>
          <w:tcPr>
            <w:tcW w:w="5891" w:type="dxa"/>
            <w:tcMar>
              <w:top w:w="150" w:type="dxa"/>
              <w:left w:w="240" w:type="dxa"/>
              <w:bottom w:w="150" w:type="dxa"/>
              <w:right w:w="0" w:type="dxa"/>
            </w:tcMar>
            <w:vAlign w:val="center"/>
          </w:tcPr>
          <w:p w14:paraId="3F9B38F1" w14:textId="77777777" w:rsidR="00E1316E" w:rsidRPr="00BE6D61" w:rsidRDefault="00114D64">
            <w:pPr>
              <w:rPr>
                <w:rFonts w:ascii="Times New Roman" w:eastAsia="宋体" w:hAnsi="Times New Roman" w:cs="Times New Roman"/>
                <w:szCs w:val="22"/>
              </w:rPr>
            </w:pPr>
            <w:r w:rsidRPr="00BE6D61">
              <w:rPr>
                <w:rFonts w:ascii="Times New Roman" w:eastAsia="宋体" w:hAnsi="Times New Roman" w:cs="Times New Roman"/>
                <w:szCs w:val="22"/>
              </w:rPr>
              <w:t>根据各投标人通过符合资格审查的有效投标报价中的算术平均价作为评标基准价，其价格分为满分。（计算到小数点后二位）</w:t>
            </w:r>
          </w:p>
          <w:p w14:paraId="3F9B38F2" w14:textId="77777777" w:rsidR="00E1316E" w:rsidRPr="00BE6D61" w:rsidRDefault="00114D64">
            <w:pPr>
              <w:spacing w:line="400" w:lineRule="exact"/>
              <w:rPr>
                <w:rFonts w:ascii="Times New Roman" w:eastAsia="宋体" w:hAnsi="Times New Roman" w:cs="Times New Roman"/>
                <w:bCs/>
                <w:szCs w:val="22"/>
              </w:rPr>
            </w:pPr>
            <w:r w:rsidRPr="00BE6D61">
              <w:rPr>
                <w:rFonts w:ascii="Times New Roman" w:eastAsia="宋体" w:hAnsi="Times New Roman" w:cs="Times New Roman"/>
                <w:bCs/>
                <w:szCs w:val="22"/>
              </w:rPr>
              <w:t>1</w:t>
            </w:r>
            <w:r w:rsidRPr="00BE6D61">
              <w:rPr>
                <w:rFonts w:ascii="Times New Roman" w:eastAsia="等线" w:hAnsi="Times New Roman" w:cs="Times New Roman"/>
                <w:bCs/>
                <w:szCs w:val="22"/>
              </w:rPr>
              <w:t>、偏差率</w:t>
            </w:r>
            <w:r w:rsidRPr="00BE6D61">
              <w:rPr>
                <w:rFonts w:ascii="Times New Roman" w:eastAsia="宋体" w:hAnsi="Times New Roman" w:cs="Times New Roman"/>
                <w:bCs/>
                <w:szCs w:val="22"/>
              </w:rPr>
              <w:t>=</w:t>
            </w:r>
            <w:r w:rsidRPr="00BE6D61">
              <w:rPr>
                <w:rFonts w:ascii="Times New Roman" w:eastAsia="宋体" w:hAnsi="Times New Roman" w:cs="Times New Roman"/>
                <w:bCs/>
                <w:szCs w:val="22"/>
              </w:rPr>
              <w:t>（投标人报价－评标基准价）</w:t>
            </w:r>
            <w:r w:rsidRPr="00BE6D61">
              <w:rPr>
                <w:rFonts w:ascii="Times New Roman" w:eastAsia="宋体" w:hAnsi="Times New Roman" w:cs="Times New Roman"/>
                <w:bCs/>
                <w:szCs w:val="22"/>
              </w:rPr>
              <w:t>/</w:t>
            </w:r>
            <w:r w:rsidRPr="00BE6D61">
              <w:rPr>
                <w:rFonts w:ascii="Times New Roman" w:eastAsia="宋体" w:hAnsi="Times New Roman" w:cs="Times New Roman"/>
                <w:bCs/>
                <w:szCs w:val="22"/>
              </w:rPr>
              <w:t>评标基准价</w:t>
            </w:r>
            <w:r w:rsidRPr="00BE6D61">
              <w:rPr>
                <w:rFonts w:ascii="Times New Roman" w:eastAsia="宋体" w:hAnsi="Times New Roman" w:cs="Times New Roman"/>
                <w:bCs/>
                <w:szCs w:val="22"/>
              </w:rPr>
              <w:t>*100%</w:t>
            </w:r>
          </w:p>
          <w:p w14:paraId="3F9B38F3" w14:textId="77777777" w:rsidR="00E1316E" w:rsidRPr="00BE6D61" w:rsidRDefault="00114D64">
            <w:pPr>
              <w:spacing w:line="400" w:lineRule="exact"/>
              <w:rPr>
                <w:rFonts w:ascii="Times New Roman" w:eastAsia="宋体" w:hAnsi="Times New Roman" w:cs="Times New Roman"/>
                <w:bCs/>
                <w:szCs w:val="22"/>
              </w:rPr>
            </w:pPr>
            <w:r w:rsidRPr="00BE6D61">
              <w:rPr>
                <w:rFonts w:ascii="Times New Roman" w:eastAsia="宋体" w:hAnsi="Times New Roman" w:cs="Times New Roman"/>
                <w:bCs/>
                <w:szCs w:val="22"/>
              </w:rPr>
              <w:t>2</w:t>
            </w:r>
            <w:r w:rsidRPr="00BE6D61">
              <w:rPr>
                <w:rFonts w:ascii="Times New Roman" w:eastAsia="宋体" w:hAnsi="Times New Roman" w:cs="Times New Roman"/>
                <w:bCs/>
                <w:szCs w:val="22"/>
              </w:rPr>
              <w:t>、报价得分</w:t>
            </w:r>
          </w:p>
          <w:p w14:paraId="3F9B38F4" w14:textId="77777777" w:rsidR="00E1316E" w:rsidRPr="00BE6D61" w:rsidRDefault="00114D64">
            <w:pPr>
              <w:spacing w:line="400" w:lineRule="exact"/>
              <w:rPr>
                <w:rFonts w:ascii="Times New Roman" w:eastAsia="宋体" w:hAnsi="Times New Roman" w:cs="Times New Roman"/>
                <w:bCs/>
                <w:szCs w:val="22"/>
              </w:rPr>
            </w:pPr>
            <w:r w:rsidRPr="00BE6D61">
              <w:rPr>
                <w:rFonts w:ascii="Times New Roman" w:eastAsia="宋体" w:hAnsi="Times New Roman" w:cs="Times New Roman"/>
                <w:bCs/>
                <w:szCs w:val="22"/>
              </w:rPr>
              <w:t>报价得分计算公式：</w:t>
            </w:r>
          </w:p>
          <w:p w14:paraId="3F9B38F5" w14:textId="77777777" w:rsidR="00E1316E" w:rsidRPr="00BE6D61" w:rsidRDefault="00114D64">
            <w:pPr>
              <w:spacing w:line="400" w:lineRule="exact"/>
              <w:rPr>
                <w:rFonts w:ascii="Times New Roman" w:eastAsia="宋体" w:hAnsi="Times New Roman" w:cs="Times New Roman"/>
                <w:bCs/>
                <w:szCs w:val="22"/>
              </w:rPr>
            </w:pPr>
            <w:r w:rsidRPr="00BE6D61">
              <w:rPr>
                <w:rFonts w:ascii="Times New Roman" w:eastAsia="宋体" w:hAnsi="Times New Roman" w:cs="Times New Roman"/>
                <w:bCs/>
                <w:szCs w:val="22"/>
              </w:rPr>
              <w:t>如果投标人的评标价＞评标基准价，则评标价得分</w:t>
            </w:r>
            <w:r w:rsidRPr="00BE6D61">
              <w:rPr>
                <w:rFonts w:ascii="Times New Roman" w:eastAsia="宋体" w:hAnsi="Times New Roman" w:cs="Times New Roman"/>
                <w:bCs/>
                <w:szCs w:val="22"/>
              </w:rPr>
              <w:t>=60-</w:t>
            </w:r>
            <w:r w:rsidRPr="00BE6D61">
              <w:rPr>
                <w:rFonts w:ascii="Times New Roman" w:eastAsia="宋体" w:hAnsi="Times New Roman" w:cs="Times New Roman"/>
                <w:bCs/>
                <w:szCs w:val="22"/>
              </w:rPr>
              <w:t>偏差率</w:t>
            </w:r>
            <w:r w:rsidRPr="00BE6D61">
              <w:rPr>
                <w:rFonts w:ascii="Times New Roman" w:eastAsia="宋体" w:hAnsi="Times New Roman" w:cs="Times New Roman"/>
                <w:bCs/>
                <w:szCs w:val="22"/>
              </w:rPr>
              <w:t>*100*0.4</w:t>
            </w:r>
            <w:r w:rsidRPr="00BE6D61">
              <w:rPr>
                <w:rFonts w:ascii="Times New Roman" w:eastAsia="宋体" w:hAnsi="Times New Roman" w:cs="Times New Roman"/>
                <w:bCs/>
                <w:szCs w:val="22"/>
              </w:rPr>
              <w:t>；</w:t>
            </w:r>
          </w:p>
          <w:p w14:paraId="3F9B38F6" w14:textId="77777777" w:rsidR="00E1316E" w:rsidRPr="00BE6D61" w:rsidRDefault="00114D64">
            <w:pPr>
              <w:tabs>
                <w:tab w:val="left" w:pos="312"/>
              </w:tabs>
              <w:rPr>
                <w:rFonts w:ascii="Times New Roman" w:eastAsia="宋体" w:hAnsi="Times New Roman" w:cs="Times New Roman"/>
                <w:bCs/>
                <w:szCs w:val="21"/>
              </w:rPr>
            </w:pPr>
            <w:r w:rsidRPr="00BE6D61">
              <w:rPr>
                <w:rFonts w:ascii="Times New Roman" w:eastAsia="宋体" w:hAnsi="Times New Roman" w:cs="Times New Roman"/>
                <w:bCs/>
                <w:szCs w:val="22"/>
              </w:rPr>
              <w:t>如果投标人的评标价</w:t>
            </w:r>
            <w:r w:rsidRPr="00BE6D61">
              <w:rPr>
                <w:rFonts w:ascii="Times New Roman" w:eastAsia="宋体" w:hAnsi="Times New Roman" w:cs="Times New Roman"/>
                <w:bCs/>
                <w:szCs w:val="22"/>
              </w:rPr>
              <w:t>≤</w:t>
            </w:r>
            <w:r w:rsidRPr="00BE6D61">
              <w:rPr>
                <w:rFonts w:ascii="Times New Roman" w:eastAsia="宋体" w:hAnsi="Times New Roman" w:cs="Times New Roman"/>
                <w:bCs/>
                <w:szCs w:val="22"/>
              </w:rPr>
              <w:t>评标基准价，则评标价得分</w:t>
            </w:r>
            <w:r w:rsidRPr="00BE6D61">
              <w:rPr>
                <w:rFonts w:ascii="Times New Roman" w:eastAsia="宋体" w:hAnsi="Times New Roman" w:cs="Times New Roman"/>
                <w:bCs/>
                <w:szCs w:val="22"/>
              </w:rPr>
              <w:t>=60+</w:t>
            </w:r>
            <w:r w:rsidRPr="00BE6D61">
              <w:rPr>
                <w:rFonts w:ascii="Times New Roman" w:eastAsia="宋体" w:hAnsi="Times New Roman" w:cs="Times New Roman"/>
                <w:bCs/>
                <w:szCs w:val="22"/>
              </w:rPr>
              <w:t>偏差率</w:t>
            </w:r>
            <w:r w:rsidRPr="00BE6D61">
              <w:rPr>
                <w:rFonts w:ascii="Times New Roman" w:eastAsia="宋体" w:hAnsi="Times New Roman" w:cs="Times New Roman"/>
                <w:bCs/>
                <w:szCs w:val="22"/>
              </w:rPr>
              <w:t>*100*0.2</w:t>
            </w:r>
            <w:r w:rsidRPr="00BE6D61">
              <w:rPr>
                <w:rFonts w:ascii="Times New Roman" w:eastAsia="宋体" w:hAnsi="Times New Roman" w:cs="Times New Roman"/>
                <w:bCs/>
                <w:szCs w:val="22"/>
              </w:rPr>
              <w:t>；</w:t>
            </w:r>
          </w:p>
        </w:tc>
      </w:tr>
      <w:tr w:rsidR="00E1316E" w:rsidRPr="00BE6D61" w14:paraId="3F9B38FB" w14:textId="77777777">
        <w:trPr>
          <w:trHeight w:val="1670"/>
        </w:trPr>
        <w:tc>
          <w:tcPr>
            <w:tcW w:w="1271" w:type="dxa"/>
            <w:tcMar>
              <w:top w:w="150" w:type="dxa"/>
              <w:left w:w="0" w:type="dxa"/>
              <w:bottom w:w="150" w:type="dxa"/>
              <w:right w:w="240" w:type="dxa"/>
            </w:tcMar>
            <w:vAlign w:val="center"/>
          </w:tcPr>
          <w:p w14:paraId="3F9B38F8" w14:textId="77777777" w:rsidR="00E1316E" w:rsidRPr="00BE6D61" w:rsidRDefault="00114D64">
            <w:pPr>
              <w:rPr>
                <w:rFonts w:ascii="Times New Roman" w:hAnsi="Times New Roman" w:cs="Times New Roman"/>
                <w:b/>
                <w:bCs/>
              </w:rPr>
            </w:pPr>
            <w:r w:rsidRPr="00BE6D61">
              <w:rPr>
                <w:rFonts w:ascii="Times New Roman" w:hAnsi="Times New Roman" w:cs="Times New Roman"/>
                <w:b/>
                <w:bCs/>
              </w:rPr>
              <w:t>技术部分</w:t>
            </w:r>
          </w:p>
        </w:tc>
        <w:tc>
          <w:tcPr>
            <w:tcW w:w="1134" w:type="dxa"/>
            <w:tcMar>
              <w:top w:w="150" w:type="dxa"/>
              <w:left w:w="240" w:type="dxa"/>
              <w:bottom w:w="150" w:type="dxa"/>
              <w:right w:w="240" w:type="dxa"/>
            </w:tcMar>
            <w:vAlign w:val="center"/>
          </w:tcPr>
          <w:p w14:paraId="3F9B38F9" w14:textId="77777777" w:rsidR="00E1316E" w:rsidRPr="00BE6D61" w:rsidRDefault="00114D64">
            <w:pPr>
              <w:rPr>
                <w:rFonts w:ascii="Times New Roman" w:hAnsi="Times New Roman" w:cs="Times New Roman"/>
                <w:b/>
                <w:bCs/>
              </w:rPr>
            </w:pPr>
            <w:r w:rsidRPr="00BE6D61">
              <w:rPr>
                <w:rFonts w:ascii="Times New Roman" w:hAnsi="Times New Roman" w:cs="Times New Roman"/>
                <w:b/>
                <w:bCs/>
              </w:rPr>
              <w:t>25</w:t>
            </w:r>
            <w:r w:rsidRPr="00BE6D61">
              <w:rPr>
                <w:rFonts w:ascii="Times New Roman" w:hAnsi="Times New Roman" w:cs="Times New Roman"/>
                <w:b/>
                <w:bCs/>
              </w:rPr>
              <w:t>分</w:t>
            </w:r>
          </w:p>
        </w:tc>
        <w:tc>
          <w:tcPr>
            <w:tcW w:w="5891" w:type="dxa"/>
            <w:tcMar>
              <w:top w:w="150" w:type="dxa"/>
              <w:left w:w="240" w:type="dxa"/>
              <w:bottom w:w="150" w:type="dxa"/>
              <w:right w:w="0" w:type="dxa"/>
            </w:tcMar>
            <w:vAlign w:val="center"/>
          </w:tcPr>
          <w:p w14:paraId="3F9B38FA" w14:textId="77777777" w:rsidR="00E1316E" w:rsidRPr="00BE6D61" w:rsidRDefault="00E1316E">
            <w:pPr>
              <w:tabs>
                <w:tab w:val="left" w:pos="312"/>
              </w:tabs>
              <w:rPr>
                <w:rFonts w:ascii="Times New Roman" w:hAnsi="Times New Roman" w:cs="Times New Roman"/>
                <w:bCs/>
                <w:szCs w:val="21"/>
              </w:rPr>
            </w:pPr>
          </w:p>
        </w:tc>
      </w:tr>
      <w:tr w:rsidR="00E1316E" w:rsidRPr="00BE6D61" w14:paraId="3F9B38FF" w14:textId="77777777">
        <w:trPr>
          <w:trHeight w:val="1670"/>
        </w:trPr>
        <w:tc>
          <w:tcPr>
            <w:tcW w:w="1271" w:type="dxa"/>
            <w:tcMar>
              <w:top w:w="150" w:type="dxa"/>
              <w:left w:w="0" w:type="dxa"/>
              <w:bottom w:w="150" w:type="dxa"/>
              <w:right w:w="240" w:type="dxa"/>
            </w:tcMar>
            <w:vAlign w:val="center"/>
          </w:tcPr>
          <w:p w14:paraId="3F9B38FC" w14:textId="77777777" w:rsidR="00E1316E" w:rsidRPr="00BE6D61" w:rsidRDefault="00114D64">
            <w:pPr>
              <w:rPr>
                <w:rFonts w:ascii="Times New Roman" w:hAnsi="Times New Roman" w:cs="Times New Roman"/>
              </w:rPr>
            </w:pPr>
            <w:r w:rsidRPr="00BE6D61">
              <w:rPr>
                <w:rFonts w:ascii="Times New Roman" w:hAnsi="Times New Roman" w:cs="Times New Roman"/>
              </w:rPr>
              <w:lastRenderedPageBreak/>
              <w:t xml:space="preserve"> </w:t>
            </w:r>
            <w:r w:rsidRPr="00BE6D61">
              <w:rPr>
                <w:rFonts w:ascii="Times New Roman" w:hAnsi="Times New Roman" w:cs="Times New Roman"/>
                <w:sz w:val="24"/>
              </w:rPr>
              <w:t>配套服务</w:t>
            </w:r>
          </w:p>
        </w:tc>
        <w:tc>
          <w:tcPr>
            <w:tcW w:w="1134" w:type="dxa"/>
            <w:tcMar>
              <w:top w:w="150" w:type="dxa"/>
              <w:left w:w="240" w:type="dxa"/>
              <w:bottom w:w="150" w:type="dxa"/>
              <w:right w:w="240" w:type="dxa"/>
            </w:tcMar>
            <w:vAlign w:val="center"/>
          </w:tcPr>
          <w:p w14:paraId="3F9B38FD" w14:textId="77777777" w:rsidR="00E1316E" w:rsidRPr="00BE6D61" w:rsidRDefault="00114D64">
            <w:pPr>
              <w:rPr>
                <w:rFonts w:ascii="Times New Roman" w:hAnsi="Times New Roman" w:cs="Times New Roman"/>
              </w:rPr>
            </w:pPr>
            <w:r w:rsidRPr="00BE6D61">
              <w:rPr>
                <w:rFonts w:ascii="Times New Roman" w:hAnsi="Times New Roman" w:cs="Times New Roman"/>
              </w:rPr>
              <w:t>0-25</w:t>
            </w:r>
            <w:r w:rsidRPr="00BE6D61">
              <w:rPr>
                <w:rFonts w:ascii="Times New Roman" w:hAnsi="Times New Roman" w:cs="Times New Roman"/>
              </w:rPr>
              <w:t>分</w:t>
            </w:r>
          </w:p>
        </w:tc>
        <w:tc>
          <w:tcPr>
            <w:tcW w:w="5891" w:type="dxa"/>
            <w:tcMar>
              <w:top w:w="150" w:type="dxa"/>
              <w:left w:w="240" w:type="dxa"/>
              <w:bottom w:w="150" w:type="dxa"/>
              <w:right w:w="0" w:type="dxa"/>
            </w:tcMar>
            <w:vAlign w:val="center"/>
          </w:tcPr>
          <w:p w14:paraId="3F9B38FE" w14:textId="77777777" w:rsidR="00E1316E" w:rsidRPr="00BE6D61" w:rsidRDefault="00114D64">
            <w:pPr>
              <w:widowControl/>
              <w:numPr>
                <w:ilvl w:val="255"/>
                <w:numId w:val="0"/>
              </w:numPr>
              <w:adjustRightInd w:val="0"/>
              <w:snapToGrid w:val="0"/>
              <w:spacing w:line="276" w:lineRule="auto"/>
              <w:rPr>
                <w:rFonts w:ascii="Times New Roman" w:hAnsi="Times New Roman" w:cs="Times New Roman"/>
              </w:rPr>
            </w:pPr>
            <w:r w:rsidRPr="00BE6D61">
              <w:rPr>
                <w:rFonts w:ascii="Times New Roman" w:hAnsi="Times New Roman" w:cs="Times New Roman"/>
                <w:kern w:val="0"/>
                <w:szCs w:val="21"/>
              </w:rPr>
              <w:t>投标人</w:t>
            </w:r>
            <w:r w:rsidRPr="00BE6D61">
              <w:rPr>
                <w:rFonts w:ascii="Times New Roman" w:hAnsi="Times New Roman" w:cs="Times New Roman"/>
                <w:kern w:val="0"/>
                <w:szCs w:val="21"/>
              </w:rPr>
              <w:t>针对本项目提供的</w:t>
            </w:r>
            <w:r w:rsidRPr="00BE6D61">
              <w:rPr>
                <w:rFonts w:ascii="Times New Roman" w:hAnsi="Times New Roman" w:cs="Times New Roman"/>
                <w:kern w:val="0"/>
                <w:szCs w:val="21"/>
              </w:rPr>
              <w:t>技术支持、培训服务、售后保障等方面</w:t>
            </w:r>
            <w:r w:rsidRPr="00BE6D61">
              <w:rPr>
                <w:rFonts w:ascii="Times New Roman" w:hAnsi="Times New Roman" w:cs="Times New Roman"/>
                <w:kern w:val="0"/>
                <w:szCs w:val="21"/>
              </w:rPr>
              <w:t>进行阐述，包括但不限于</w:t>
            </w:r>
            <w:r w:rsidRPr="00BE6D61">
              <w:rPr>
                <w:rFonts w:ascii="Times New Roman" w:hAnsi="Times New Roman" w:cs="Times New Roman"/>
                <w:bCs/>
                <w:szCs w:val="21"/>
              </w:rPr>
              <w:t>是否提供洗涤流程优化、问题诊断等专业支持；是否提供产品操作流程图、洗手图、破损控制、化学品标识图及公区的相关墙贴</w:t>
            </w:r>
            <w:r w:rsidRPr="00BE6D61">
              <w:rPr>
                <w:rFonts w:ascii="Times New Roman" w:hAnsi="Times New Roman" w:cs="Times New Roman"/>
                <w:bCs/>
                <w:szCs w:val="21"/>
              </w:rPr>
              <w:t>；</w:t>
            </w:r>
            <w:r w:rsidRPr="00BE6D61">
              <w:rPr>
                <w:rFonts w:ascii="Times New Roman" w:hAnsi="Times New Roman" w:cs="Times New Roman"/>
                <w:bCs/>
                <w:szCs w:val="21"/>
              </w:rPr>
              <w:t>是否对洗衣房员工进行操作培训</w:t>
            </w:r>
            <w:r w:rsidRPr="00BE6D61">
              <w:rPr>
                <w:rFonts w:ascii="Times New Roman" w:hAnsi="Times New Roman" w:cs="Times New Roman"/>
                <w:bCs/>
                <w:szCs w:val="21"/>
              </w:rPr>
              <w:t>，</w:t>
            </w:r>
            <w:r w:rsidRPr="00BE6D61">
              <w:rPr>
                <w:rFonts w:ascii="Times New Roman" w:hAnsi="Times New Roman" w:cs="Times New Roman"/>
                <w:bCs/>
                <w:szCs w:val="21"/>
              </w:rPr>
              <w:t>是否有质量退换</w:t>
            </w:r>
            <w:proofErr w:type="gramStart"/>
            <w:r w:rsidRPr="00BE6D61">
              <w:rPr>
                <w:rFonts w:ascii="Times New Roman" w:hAnsi="Times New Roman" w:cs="Times New Roman"/>
                <w:bCs/>
                <w:szCs w:val="21"/>
              </w:rPr>
              <w:t>货承诺</w:t>
            </w:r>
            <w:proofErr w:type="gramEnd"/>
            <w:r w:rsidRPr="00BE6D61">
              <w:rPr>
                <w:rFonts w:ascii="Times New Roman" w:hAnsi="Times New Roman" w:cs="Times New Roman"/>
                <w:bCs/>
                <w:szCs w:val="21"/>
              </w:rPr>
              <w:t>及定期效果跟踪</w:t>
            </w:r>
            <w:r w:rsidRPr="00BE6D61">
              <w:rPr>
                <w:rFonts w:ascii="Times New Roman" w:hAnsi="Times New Roman" w:cs="Times New Roman"/>
                <w:bCs/>
                <w:szCs w:val="21"/>
              </w:rPr>
              <w:t>等内容。</w:t>
            </w:r>
            <w:r w:rsidRPr="00BE6D61">
              <w:rPr>
                <w:rFonts w:ascii="Times New Roman" w:hAnsi="Times New Roman" w:cs="Times New Roman"/>
                <w:kern w:val="0"/>
                <w:szCs w:val="21"/>
              </w:rPr>
              <w:t>优得（</w:t>
            </w:r>
            <w:r w:rsidRPr="00BE6D61">
              <w:rPr>
                <w:rFonts w:ascii="Times New Roman" w:hAnsi="Times New Roman" w:cs="Times New Roman"/>
                <w:kern w:val="0"/>
                <w:szCs w:val="21"/>
              </w:rPr>
              <w:t>18-25</w:t>
            </w:r>
            <w:r w:rsidRPr="00BE6D61">
              <w:rPr>
                <w:rFonts w:ascii="Times New Roman" w:hAnsi="Times New Roman" w:cs="Times New Roman"/>
                <w:kern w:val="0"/>
                <w:szCs w:val="21"/>
              </w:rPr>
              <w:t>）</w:t>
            </w:r>
            <w:r w:rsidRPr="00BE6D61">
              <w:rPr>
                <w:rFonts w:ascii="Times New Roman" w:hAnsi="Times New Roman" w:cs="Times New Roman"/>
                <w:kern w:val="0"/>
                <w:szCs w:val="21"/>
              </w:rPr>
              <w:t>分、</w:t>
            </w:r>
            <w:proofErr w:type="gramStart"/>
            <w:r w:rsidRPr="00BE6D61">
              <w:rPr>
                <w:rFonts w:ascii="Times New Roman" w:hAnsi="Times New Roman" w:cs="Times New Roman"/>
                <w:kern w:val="0"/>
                <w:szCs w:val="21"/>
              </w:rPr>
              <w:t>良得</w:t>
            </w:r>
            <w:proofErr w:type="gramEnd"/>
            <w:r w:rsidRPr="00BE6D61">
              <w:rPr>
                <w:rFonts w:ascii="Times New Roman" w:hAnsi="Times New Roman" w:cs="Times New Roman"/>
                <w:kern w:val="0"/>
                <w:szCs w:val="21"/>
              </w:rPr>
              <w:t>(</w:t>
            </w:r>
            <w:r w:rsidRPr="00BE6D61">
              <w:rPr>
                <w:rFonts w:ascii="Times New Roman" w:hAnsi="Times New Roman" w:cs="Times New Roman"/>
                <w:kern w:val="0"/>
                <w:szCs w:val="21"/>
              </w:rPr>
              <w:t>9-17</w:t>
            </w:r>
            <w:r w:rsidRPr="00BE6D61">
              <w:rPr>
                <w:rFonts w:ascii="Times New Roman" w:hAnsi="Times New Roman" w:cs="Times New Roman"/>
                <w:kern w:val="0"/>
                <w:szCs w:val="21"/>
              </w:rPr>
              <w:t>）</w:t>
            </w:r>
            <w:r w:rsidRPr="00BE6D61">
              <w:rPr>
                <w:rFonts w:ascii="Times New Roman" w:hAnsi="Times New Roman" w:cs="Times New Roman"/>
                <w:kern w:val="0"/>
                <w:szCs w:val="21"/>
              </w:rPr>
              <w:t>分、一般得</w:t>
            </w:r>
            <w:r w:rsidRPr="00BE6D61">
              <w:rPr>
                <w:rFonts w:ascii="Times New Roman" w:hAnsi="Times New Roman" w:cs="Times New Roman"/>
                <w:kern w:val="0"/>
                <w:szCs w:val="21"/>
              </w:rPr>
              <w:t>（</w:t>
            </w:r>
            <w:r w:rsidRPr="00BE6D61">
              <w:rPr>
                <w:rFonts w:ascii="Times New Roman" w:hAnsi="Times New Roman" w:cs="Times New Roman"/>
                <w:kern w:val="0"/>
                <w:szCs w:val="21"/>
              </w:rPr>
              <w:t>1-8</w:t>
            </w:r>
            <w:r w:rsidRPr="00BE6D61">
              <w:rPr>
                <w:rFonts w:ascii="Times New Roman" w:hAnsi="Times New Roman" w:cs="Times New Roman"/>
                <w:kern w:val="0"/>
                <w:szCs w:val="21"/>
              </w:rPr>
              <w:t>）</w:t>
            </w:r>
            <w:r w:rsidRPr="00BE6D61">
              <w:rPr>
                <w:rFonts w:ascii="Times New Roman" w:hAnsi="Times New Roman" w:cs="Times New Roman"/>
                <w:kern w:val="0"/>
                <w:szCs w:val="21"/>
              </w:rPr>
              <w:t>分，</w:t>
            </w:r>
            <w:r w:rsidRPr="00BE6D61">
              <w:rPr>
                <w:rFonts w:ascii="Times New Roman" w:hAnsi="Times New Roman" w:cs="Times New Roman"/>
                <w:kern w:val="0"/>
                <w:szCs w:val="21"/>
              </w:rPr>
              <w:t>未提供本项目供货方案不得分，</w:t>
            </w:r>
            <w:r w:rsidRPr="00BE6D61">
              <w:rPr>
                <w:rFonts w:ascii="Times New Roman" w:hAnsi="Times New Roman" w:cs="Times New Roman"/>
                <w:kern w:val="0"/>
                <w:szCs w:val="21"/>
              </w:rPr>
              <w:t>本项最高得</w:t>
            </w:r>
            <w:r w:rsidRPr="00BE6D61">
              <w:rPr>
                <w:rFonts w:ascii="Times New Roman" w:hAnsi="Times New Roman" w:cs="Times New Roman"/>
                <w:kern w:val="0"/>
                <w:szCs w:val="21"/>
              </w:rPr>
              <w:t>25</w:t>
            </w:r>
            <w:r w:rsidRPr="00BE6D61">
              <w:rPr>
                <w:rFonts w:ascii="Times New Roman" w:hAnsi="Times New Roman" w:cs="Times New Roman"/>
                <w:kern w:val="0"/>
                <w:szCs w:val="21"/>
              </w:rPr>
              <w:t>分。</w:t>
            </w:r>
          </w:p>
        </w:tc>
      </w:tr>
    </w:tbl>
    <w:p w14:paraId="3F9B3900" w14:textId="77777777" w:rsidR="00E1316E" w:rsidRPr="00BE6D61" w:rsidRDefault="00E1316E">
      <w:pPr>
        <w:rPr>
          <w:rFonts w:ascii="Times New Roman" w:hAnsi="Times New Roman" w:cs="Times New Roman"/>
        </w:rPr>
      </w:pPr>
    </w:p>
    <w:sectPr w:rsidR="00E1316E" w:rsidRPr="00BE6D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8D1C" w14:textId="77777777" w:rsidR="00114D64" w:rsidRDefault="00114D64">
      <w:pPr>
        <w:spacing w:line="240" w:lineRule="auto"/>
      </w:pPr>
      <w:r>
        <w:separator/>
      </w:r>
    </w:p>
  </w:endnote>
  <w:endnote w:type="continuationSeparator" w:id="0">
    <w:p w14:paraId="52568184" w14:textId="77777777" w:rsidR="00114D64" w:rsidRDefault="00114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1402" w14:textId="77777777" w:rsidR="00114D64" w:rsidRDefault="00114D64">
      <w:pPr>
        <w:spacing w:after="0"/>
      </w:pPr>
      <w:r>
        <w:separator/>
      </w:r>
    </w:p>
  </w:footnote>
  <w:footnote w:type="continuationSeparator" w:id="0">
    <w:p w14:paraId="4DBD4128" w14:textId="77777777" w:rsidR="00114D64" w:rsidRDefault="00114D6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C17"/>
    <w:rsid w:val="000558B9"/>
    <w:rsid w:val="00114D64"/>
    <w:rsid w:val="00207C2E"/>
    <w:rsid w:val="0033437A"/>
    <w:rsid w:val="0056539B"/>
    <w:rsid w:val="005F7F58"/>
    <w:rsid w:val="00687FF1"/>
    <w:rsid w:val="0072228A"/>
    <w:rsid w:val="0077026D"/>
    <w:rsid w:val="0081645D"/>
    <w:rsid w:val="00B85A4C"/>
    <w:rsid w:val="00BB4242"/>
    <w:rsid w:val="00BE6D61"/>
    <w:rsid w:val="00C83C17"/>
    <w:rsid w:val="00CD3C50"/>
    <w:rsid w:val="00DC793B"/>
    <w:rsid w:val="00E1316E"/>
    <w:rsid w:val="022E5EE7"/>
    <w:rsid w:val="042477D1"/>
    <w:rsid w:val="0808754A"/>
    <w:rsid w:val="0DFC4600"/>
    <w:rsid w:val="0E1D7AB9"/>
    <w:rsid w:val="14463CEB"/>
    <w:rsid w:val="1B284D55"/>
    <w:rsid w:val="1EA913DC"/>
    <w:rsid w:val="1F2725B2"/>
    <w:rsid w:val="264039A7"/>
    <w:rsid w:val="31F05E57"/>
    <w:rsid w:val="399D3092"/>
    <w:rsid w:val="40CB5502"/>
    <w:rsid w:val="48C4241B"/>
    <w:rsid w:val="52A456DA"/>
    <w:rsid w:val="5A485D96"/>
    <w:rsid w:val="5EA708DA"/>
    <w:rsid w:val="64F7136F"/>
    <w:rsid w:val="6B555206"/>
    <w:rsid w:val="6F373734"/>
    <w:rsid w:val="75BC33B6"/>
    <w:rsid w:val="778F72A0"/>
    <w:rsid w:val="7EFC3F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B38E0"/>
  <w15:docId w15:val="{3C88CE9F-4534-4816-8E20-BAF619FE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3">
    <w:name w:val="heading 3"/>
    <w:basedOn w:val="a"/>
    <w:next w:val="a"/>
    <w:semiHidden/>
    <w:unhideWhenUsed/>
    <w:qFormat/>
    <w:pPr>
      <w:spacing w:beforeAutospacing="1" w:after="0" w:afterAutospacing="1"/>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tyle>
  <w:style w:type="paragraph" w:styleId="a5">
    <w:name w:val="footer"/>
    <w:basedOn w:val="a"/>
    <w:link w:val="a6"/>
    <w:pPr>
      <w:tabs>
        <w:tab w:val="center" w:pos="4153"/>
        <w:tab w:val="right" w:pos="8306"/>
      </w:tabs>
      <w:snapToGrid w:val="0"/>
      <w:spacing w:line="240" w:lineRule="auto"/>
    </w:pPr>
    <w:rPr>
      <w:sz w:val="18"/>
      <w:szCs w:val="18"/>
    </w:rPr>
  </w:style>
  <w:style w:type="paragraph" w:styleId="a7">
    <w:name w:val="header"/>
    <w:basedOn w:val="a"/>
    <w:link w:val="a8"/>
    <w:pPr>
      <w:tabs>
        <w:tab w:val="center" w:pos="4153"/>
        <w:tab w:val="right" w:pos="8306"/>
      </w:tabs>
      <w:snapToGrid w:val="0"/>
      <w:spacing w:line="240" w:lineRule="auto"/>
      <w:jc w:val="center"/>
    </w:pPr>
    <w:rPr>
      <w:sz w:val="18"/>
      <w:szCs w:val="18"/>
    </w:rPr>
  </w:style>
  <w:style w:type="paragraph" w:styleId="a9">
    <w:name w:val="Normal (Web)"/>
    <w:basedOn w:val="a"/>
    <w:qFormat/>
    <w:rPr>
      <w:sz w:val="24"/>
    </w:rPr>
  </w:style>
  <w:style w:type="paragraph" w:styleId="aa">
    <w:name w:val="annotation subject"/>
    <w:basedOn w:val="a3"/>
    <w:next w:val="a3"/>
    <w:link w:val="ab"/>
    <w:rPr>
      <w:b/>
      <w:bCs/>
    </w:rPr>
  </w:style>
  <w:style w:type="character" w:styleId="ac">
    <w:name w:val="Strong"/>
    <w:basedOn w:val="a0"/>
    <w:qFormat/>
    <w:rPr>
      <w:b/>
    </w:rPr>
  </w:style>
  <w:style w:type="character" w:styleId="ad">
    <w:name w:val="annotation reference"/>
    <w:basedOn w:val="a0"/>
    <w:rPr>
      <w:sz w:val="21"/>
      <w:szCs w:val="21"/>
    </w:rPr>
  </w:style>
  <w:style w:type="character" w:customStyle="1" w:styleId="a8">
    <w:name w:val="页眉 字符"/>
    <w:basedOn w:val="a0"/>
    <w:link w:val="a7"/>
    <w:rPr>
      <w:rFonts w:asciiTheme="minorHAnsi" w:eastAsiaTheme="minorEastAsia" w:hAnsiTheme="minorHAnsi" w:cstheme="minorBidi"/>
      <w:kern w:val="2"/>
      <w:sz w:val="18"/>
      <w:szCs w:val="18"/>
      <w14:ligatures w14:val="standardContextual"/>
    </w:rPr>
  </w:style>
  <w:style w:type="character" w:customStyle="1" w:styleId="a6">
    <w:name w:val="页脚 字符"/>
    <w:basedOn w:val="a0"/>
    <w:link w:val="a5"/>
    <w:rPr>
      <w:rFonts w:asciiTheme="minorHAnsi" w:eastAsiaTheme="minorEastAsia" w:hAnsiTheme="minorHAnsi" w:cstheme="minorBidi"/>
      <w:kern w:val="2"/>
      <w:sz w:val="18"/>
      <w:szCs w:val="18"/>
      <w14:ligatures w14:val="standardContextual"/>
    </w:rPr>
  </w:style>
  <w:style w:type="paragraph" w:customStyle="1" w:styleId="1">
    <w:name w:val="修订1"/>
    <w:hidden/>
    <w:uiPriority w:val="99"/>
    <w:unhideWhenUsed/>
    <w:rPr>
      <w:rFonts w:asciiTheme="minorHAnsi" w:eastAsiaTheme="minorEastAsia" w:hAnsiTheme="minorHAnsi" w:cstheme="minorBidi"/>
      <w:kern w:val="2"/>
      <w:sz w:val="22"/>
      <w:szCs w:val="24"/>
      <w14:ligatures w14:val="standardContextual"/>
    </w:rPr>
  </w:style>
  <w:style w:type="character" w:customStyle="1" w:styleId="a4">
    <w:name w:val="批注文字 字符"/>
    <w:basedOn w:val="a0"/>
    <w:link w:val="a3"/>
    <w:rPr>
      <w:rFonts w:asciiTheme="minorHAnsi" w:eastAsiaTheme="minorEastAsia" w:hAnsiTheme="minorHAnsi" w:cstheme="minorBidi"/>
      <w:kern w:val="2"/>
      <w:sz w:val="22"/>
      <w:szCs w:val="24"/>
      <w14:ligatures w14:val="standardContextual"/>
    </w:rPr>
  </w:style>
  <w:style w:type="character" w:customStyle="1" w:styleId="ab">
    <w:name w:val="批注主题 字符"/>
    <w:basedOn w:val="a4"/>
    <w:link w:val="aa"/>
    <w:rPr>
      <w:rFonts w:asciiTheme="minorHAnsi" w:eastAsiaTheme="minorEastAsia" w:hAnsiTheme="minorHAnsi" w:cstheme="minorBidi"/>
      <w:b/>
      <w:bCs/>
      <w:kern w:val="2"/>
      <w:sz w:val="22"/>
      <w:szCs w:val="24"/>
      <w14:ligatures w14:val="standardContextual"/>
    </w:rPr>
  </w:style>
  <w:style w:type="paragraph" w:styleId="ae">
    <w:name w:val="Revision"/>
    <w:hidden/>
    <w:uiPriority w:val="99"/>
    <w:unhideWhenUsed/>
    <w:rsid w:val="00BE6D61"/>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115B7-0C20-4752-B798-93D84315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296</Words>
  <Characters>324</Characters>
  <Application>Microsoft Office Word</Application>
  <DocSecurity>0</DocSecurity>
  <Lines>24</Lines>
  <Paragraphs>24</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 Liu</cp:lastModifiedBy>
  <cp:revision>12</cp:revision>
  <dcterms:created xsi:type="dcterms:W3CDTF">2025-11-15T07:13:00Z</dcterms:created>
  <dcterms:modified xsi:type="dcterms:W3CDTF">2026-03-13T00:52:00Z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eyJoZGlkIjoiNWRlOTgyMDc4NWM5NjIzYmY1OTg1NTMwODljZTljOTUiLCJ1c2VySWQiOiIxNzcyNDgyMzQ1In0=</vt:lpwstr>
  </property>
  <property fmtid="{D5CDD505-2E9C-101B-9397-08002B2CF9AE}" pid="4" name="ICV">
    <vt:lpwstr>8D53E3028C814D9394FEBD726CBB2DC2_13</vt:lpwstr>
  </property>
</Properties>
</file>