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CD16" w14:textId="5DBEA170" w:rsidR="00831AB0" w:rsidRDefault="00831AB0" w:rsidP="00831AB0">
      <w:pPr>
        <w:widowControl/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14:ligatures w14:val="none"/>
        </w:rPr>
      </w:pPr>
      <w:r w:rsidRPr="00D54CAD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14:ligatures w14:val="none"/>
        </w:rPr>
        <w:t>芜湖</w:t>
      </w:r>
      <w:proofErr w:type="gramStart"/>
      <w:r w:rsidRPr="00D54CAD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14:ligatures w14:val="none"/>
        </w:rPr>
        <w:t>远恒资产</w:t>
      </w:r>
      <w:proofErr w:type="gramEnd"/>
      <w:r w:rsidRPr="00D54CAD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14:ligatures w14:val="none"/>
        </w:rPr>
        <w:t>运营有限公司主体信用评级机构采购评分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14:ligatures w14:val="none"/>
        </w:rPr>
        <w:t>标准及评分办法</w:t>
      </w:r>
    </w:p>
    <w:p w14:paraId="765A13B6" w14:textId="42C33765" w:rsidR="00B13471" w:rsidRPr="00E87E0A" w:rsidRDefault="00B13471" w:rsidP="00EB77A7">
      <w:pPr>
        <w:rPr>
          <w:rFonts w:ascii="宋体" w:eastAsia="宋体" w:hAnsi="宋体" w:cs="Times New Roman" w:hint="eastAsia"/>
        </w:rPr>
      </w:pPr>
      <w:r w:rsidRPr="00E87E0A">
        <w:rPr>
          <w:rFonts w:ascii="宋体" w:eastAsia="宋体" w:hAnsi="宋体" w:cs="Times New Roman" w:hint="eastAsia"/>
        </w:rPr>
        <w:t>本次评标采用</w:t>
      </w:r>
      <w:r w:rsidRPr="00E87E0A">
        <w:rPr>
          <w:rFonts w:ascii="宋体" w:eastAsia="宋体" w:hAnsi="宋体" w:cs="Times New Roman" w:hint="eastAsia"/>
          <w:b/>
          <w:bCs/>
        </w:rPr>
        <w:t>综合评分法</w:t>
      </w:r>
      <w:r w:rsidRPr="00E87E0A">
        <w:rPr>
          <w:rFonts w:ascii="宋体" w:eastAsia="宋体" w:hAnsi="宋体" w:cs="Times New Roman" w:hint="eastAsia"/>
        </w:rPr>
        <w:t>。满分100分，由</w:t>
      </w:r>
      <w:r w:rsidRPr="00E87E0A">
        <w:rPr>
          <w:rFonts w:ascii="宋体" w:eastAsia="宋体" w:hAnsi="宋体" w:cs="Times New Roman" w:hint="eastAsia"/>
          <w:b/>
          <w:bCs/>
        </w:rPr>
        <w:t>商务部分</w:t>
      </w:r>
      <w:r w:rsidRPr="00E87E0A">
        <w:rPr>
          <w:rFonts w:ascii="宋体" w:eastAsia="宋体" w:hAnsi="宋体" w:cs="Times New Roman" w:hint="eastAsia"/>
        </w:rPr>
        <w:t>和</w:t>
      </w:r>
      <w:r w:rsidRPr="00E87E0A">
        <w:rPr>
          <w:rFonts w:ascii="宋体" w:eastAsia="宋体" w:hAnsi="宋体" w:cs="Times New Roman" w:hint="eastAsia"/>
          <w:b/>
          <w:bCs/>
        </w:rPr>
        <w:t>技术部分</w:t>
      </w:r>
      <w:r w:rsidRPr="00E87E0A">
        <w:rPr>
          <w:rFonts w:ascii="宋体" w:eastAsia="宋体" w:hAnsi="宋体" w:cs="Times New Roman" w:hint="eastAsia"/>
        </w:rPr>
        <w:t>两部分构成。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5891"/>
      </w:tblGrid>
      <w:tr w:rsidR="00B13471" w:rsidRPr="00E87E0A" w14:paraId="04505C5B" w14:textId="77777777" w:rsidTr="003E6278">
        <w:trPr>
          <w:tblHeader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B3174A" w14:textId="77777777" w:rsidR="00B13471" w:rsidRPr="00E87E0A" w:rsidRDefault="00B13471" w:rsidP="00EB77A7">
            <w:pPr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E87E0A">
              <w:rPr>
                <w:rFonts w:ascii="宋体" w:eastAsia="宋体" w:hAnsi="宋体" w:cs="Times New Roman"/>
                <w:b/>
                <w:bCs/>
              </w:rPr>
              <w:t>评分因素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915A90" w14:textId="77777777" w:rsidR="00B13471" w:rsidRPr="00E87E0A" w:rsidRDefault="00B13471" w:rsidP="00EB77A7">
            <w:pPr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E87E0A">
              <w:rPr>
                <w:rFonts w:ascii="宋体" w:eastAsia="宋体" w:hAnsi="宋体" w:cs="Times New Roman"/>
                <w:b/>
                <w:bCs/>
              </w:rPr>
              <w:t>分值</w:t>
            </w:r>
          </w:p>
        </w:tc>
        <w:tc>
          <w:tcPr>
            <w:tcW w:w="58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4BF059" w14:textId="77777777" w:rsidR="00B13471" w:rsidRPr="00E87E0A" w:rsidRDefault="00B13471" w:rsidP="00EB77A7">
            <w:pPr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E87E0A">
              <w:rPr>
                <w:rFonts w:ascii="宋体" w:eastAsia="宋体" w:hAnsi="宋体" w:cs="Times New Roman"/>
                <w:b/>
                <w:bCs/>
              </w:rPr>
              <w:t>评分细则</w:t>
            </w:r>
          </w:p>
        </w:tc>
      </w:tr>
      <w:tr w:rsidR="00B13471" w:rsidRPr="00E87E0A" w14:paraId="66199ECD" w14:textId="77777777" w:rsidTr="00E87E0A">
        <w:trPr>
          <w:trHeight w:val="537"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F3B041" w14:textId="77777777" w:rsidR="00B13471" w:rsidRPr="00E87E0A" w:rsidRDefault="00B13471" w:rsidP="00EB77A7">
            <w:pPr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E87E0A">
              <w:rPr>
                <w:rFonts w:ascii="宋体" w:eastAsia="宋体" w:hAnsi="宋体" w:cs="Times New Roman"/>
                <w:b/>
                <w:bCs/>
              </w:rPr>
              <w:t>商务部分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BD72FF" w14:textId="77777777" w:rsidR="00B13471" w:rsidRPr="00E87E0A" w:rsidRDefault="00B13471" w:rsidP="00EB77A7">
            <w:pPr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E87E0A">
              <w:rPr>
                <w:rFonts w:ascii="宋体" w:eastAsia="宋体" w:hAnsi="宋体" w:cs="Times New Roman"/>
                <w:b/>
                <w:bCs/>
              </w:rPr>
              <w:t>75分</w:t>
            </w:r>
          </w:p>
        </w:tc>
        <w:tc>
          <w:tcPr>
            <w:tcW w:w="589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F1821E" w14:textId="77777777" w:rsidR="00B13471" w:rsidRPr="00E87E0A" w:rsidRDefault="00B13471" w:rsidP="00EB77A7">
            <w:pPr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</w:p>
        </w:tc>
      </w:tr>
      <w:tr w:rsidR="003E6278" w:rsidRPr="00E87E0A" w14:paraId="5E8C5826" w14:textId="77777777" w:rsidTr="00DB4865">
        <w:trPr>
          <w:trHeight w:val="658"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EDF982" w14:textId="679A004A" w:rsidR="00CB5B50" w:rsidRPr="00E87E0A" w:rsidRDefault="00CB5B50" w:rsidP="003E6278">
            <w:pPr>
              <w:jc w:val="center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hint="eastAsia"/>
              </w:rPr>
              <w:t>1</w:t>
            </w:r>
            <w:r w:rsidR="00D804C3" w:rsidRPr="00E87E0A">
              <w:rPr>
                <w:rFonts w:ascii="宋体" w:eastAsia="宋体" w:hAnsi="宋体" w:hint="eastAsia"/>
              </w:rPr>
              <w:t>.</w:t>
            </w:r>
            <w:r w:rsidRPr="00E87E0A">
              <w:rPr>
                <w:rFonts w:ascii="宋体" w:eastAsia="宋体" w:hAnsi="宋体" w:hint="eastAsia"/>
              </w:rPr>
              <w:t>投标报价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89E4AA" w14:textId="75915C39" w:rsidR="00CB5B50" w:rsidRPr="00E87E0A" w:rsidRDefault="0032496B" w:rsidP="00CB5B50">
            <w:pPr>
              <w:jc w:val="center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cs="Times New Roman" w:hint="eastAsia"/>
              </w:rPr>
              <w:t>1</w:t>
            </w:r>
            <w:r w:rsidR="003E6278" w:rsidRPr="00E87E0A">
              <w:rPr>
                <w:rFonts w:ascii="宋体" w:eastAsia="宋体" w:hAnsi="宋体" w:cs="Times New Roman" w:hint="eastAsia"/>
              </w:rPr>
              <w:t>5</w:t>
            </w:r>
            <w:r w:rsidR="00CB5B50" w:rsidRPr="00E87E0A">
              <w:rPr>
                <w:rFonts w:ascii="宋体" w:eastAsia="宋体" w:hAnsi="宋体" w:cs="Times New Roman" w:hint="eastAsia"/>
              </w:rPr>
              <w:t>分</w:t>
            </w:r>
          </w:p>
        </w:tc>
        <w:tc>
          <w:tcPr>
            <w:tcW w:w="589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163217" w14:textId="3416B6ED" w:rsidR="00CB5B50" w:rsidRPr="00E87E0A" w:rsidRDefault="003E6278" w:rsidP="00D804C3">
            <w:pPr>
              <w:ind w:rightChars="100" w:right="210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cs="Times New Roman" w:hint="eastAsia"/>
              </w:rPr>
              <w:t>以投标报价的平均价为基准价，投标报价等于基准价的得15分，每高1%扣0.1分，每低1%扣0.05分，扣完为止。</w:t>
            </w:r>
          </w:p>
        </w:tc>
      </w:tr>
      <w:tr w:rsidR="003E6278" w:rsidRPr="00E87E0A" w14:paraId="2DB32CB4" w14:textId="77777777" w:rsidTr="003E6278">
        <w:trPr>
          <w:trHeight w:val="1670"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1E81B2" w14:textId="0CAF2080" w:rsidR="00CB5B50" w:rsidRPr="00E87E0A" w:rsidRDefault="00CB5B50" w:rsidP="003E6278">
            <w:pPr>
              <w:jc w:val="center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hint="eastAsia"/>
              </w:rPr>
              <w:t>2</w:t>
            </w:r>
            <w:r w:rsidR="00D804C3" w:rsidRPr="00E87E0A">
              <w:rPr>
                <w:rFonts w:ascii="宋体" w:eastAsia="宋体" w:hAnsi="宋体" w:hint="eastAsia"/>
              </w:rPr>
              <w:t>.</w:t>
            </w:r>
            <w:r w:rsidRPr="00E87E0A">
              <w:rPr>
                <w:rFonts w:ascii="宋体" w:eastAsia="宋体" w:hAnsi="宋体" w:hint="eastAsia"/>
              </w:rPr>
              <w:t>机构评价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6265FA" w14:textId="77777777" w:rsidR="00CB5B50" w:rsidRPr="00E87E0A" w:rsidRDefault="00CB5B50" w:rsidP="00CB5B50">
            <w:pPr>
              <w:jc w:val="center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cs="Times New Roman" w:hint="eastAsia"/>
              </w:rPr>
              <w:t>60分</w:t>
            </w:r>
          </w:p>
        </w:tc>
        <w:tc>
          <w:tcPr>
            <w:tcW w:w="589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5EE9DC" w14:textId="77777777" w:rsidR="003E6278" w:rsidRPr="00E87E0A" w:rsidRDefault="003E6278" w:rsidP="00D804C3">
            <w:pPr>
              <w:ind w:rightChars="100" w:right="210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cs="Times New Roman" w:hint="eastAsia"/>
              </w:rPr>
              <w:t>投标人根据国家发展改革委办公厅、中国银行间市场交易商协会、中国保险资产管理业协会的评价结果排名打分，共3项，每项排名最高的得20分，按名次依次递减，每个名次递减3分，最低得0分。</w:t>
            </w:r>
          </w:p>
          <w:p w14:paraId="6A3E49E0" w14:textId="77777777" w:rsidR="003E6278" w:rsidRPr="00E87E0A" w:rsidRDefault="003E6278" w:rsidP="00D804C3">
            <w:pPr>
              <w:ind w:rightChars="100" w:right="210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cs="Times New Roman" w:hint="eastAsia"/>
              </w:rPr>
              <w:t>1、根据投标人国家发展改革委办公厅2021年度企业债券主承销商和信用评级机构信用评价结果（发改办财金〔2022〕703号）的名单排名进行打分；</w:t>
            </w:r>
          </w:p>
          <w:p w14:paraId="72A515FA" w14:textId="77777777" w:rsidR="003E6278" w:rsidRPr="00E87E0A" w:rsidRDefault="003E6278" w:rsidP="00D804C3">
            <w:pPr>
              <w:ind w:rightChars="100" w:right="210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cs="Times New Roman" w:hint="eastAsia"/>
              </w:rPr>
              <w:t>2、根据投标人在中国银行间市场交易商协会、中国证券业协会2025年度信用评级机构联合市场化评价结果的排名情况进行打分；</w:t>
            </w:r>
          </w:p>
          <w:p w14:paraId="676BCD63" w14:textId="4248FE79" w:rsidR="00CB5B50" w:rsidRPr="00E87E0A" w:rsidRDefault="003E6278" w:rsidP="00D804C3">
            <w:pPr>
              <w:tabs>
                <w:tab w:val="left" w:pos="312"/>
              </w:tabs>
              <w:ind w:rightChars="100" w:right="210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E87E0A">
              <w:rPr>
                <w:rFonts w:ascii="宋体" w:eastAsia="宋体" w:hAnsi="宋体" w:cs="Times New Roman" w:hint="eastAsia"/>
              </w:rPr>
              <w:t>3、根据投标人在中国保险资产管理业协会公布2025年信用评级机构评价结果（综合素质得分排名）的名单排名进行打分。</w:t>
            </w:r>
          </w:p>
        </w:tc>
      </w:tr>
      <w:tr w:rsidR="003E6278" w:rsidRPr="00E87E0A" w14:paraId="6C7B849A" w14:textId="77777777" w:rsidTr="00DB4865">
        <w:trPr>
          <w:trHeight w:val="514"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C6B1C8" w14:textId="77777777" w:rsidR="00B13471" w:rsidRPr="00E87E0A" w:rsidRDefault="00B13471" w:rsidP="003E6278">
            <w:pPr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E87E0A">
              <w:rPr>
                <w:rFonts w:ascii="宋体" w:eastAsia="宋体" w:hAnsi="宋体" w:cs="Times New Roman" w:hint="eastAsia"/>
                <w:b/>
                <w:bCs/>
              </w:rPr>
              <w:t>技术部分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9F2EEE" w14:textId="77777777" w:rsidR="00B13471" w:rsidRPr="00E87E0A" w:rsidRDefault="00B13471" w:rsidP="00EB77A7">
            <w:pPr>
              <w:jc w:val="center"/>
              <w:rPr>
                <w:rFonts w:ascii="宋体" w:eastAsia="宋体" w:hAnsi="宋体" w:cs="Times New Roman" w:hint="eastAsia"/>
                <w:b/>
                <w:bCs/>
              </w:rPr>
            </w:pPr>
            <w:r w:rsidRPr="00E87E0A">
              <w:rPr>
                <w:rFonts w:ascii="宋体" w:eastAsia="宋体" w:hAnsi="宋体" w:cs="Times New Roman" w:hint="eastAsia"/>
                <w:b/>
                <w:bCs/>
              </w:rPr>
              <w:t>25分</w:t>
            </w:r>
          </w:p>
        </w:tc>
        <w:tc>
          <w:tcPr>
            <w:tcW w:w="589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D8422B" w14:textId="77777777" w:rsidR="00B13471" w:rsidRPr="00E87E0A" w:rsidRDefault="00B13471" w:rsidP="00D804C3">
            <w:pPr>
              <w:tabs>
                <w:tab w:val="left" w:pos="312"/>
              </w:tabs>
              <w:ind w:rightChars="100" w:right="210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3E6278" w:rsidRPr="00E87E0A" w14:paraId="254E4DCF" w14:textId="77777777" w:rsidTr="003E6278">
        <w:trPr>
          <w:trHeight w:val="1670"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F99AD9" w14:textId="51BA6094" w:rsidR="00B13471" w:rsidRPr="00E87E0A" w:rsidRDefault="003E6278" w:rsidP="003E6278">
            <w:pPr>
              <w:jc w:val="center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hint="eastAsia"/>
              </w:rPr>
              <w:t>3</w:t>
            </w:r>
            <w:r w:rsidR="00D804C3" w:rsidRPr="00E87E0A">
              <w:rPr>
                <w:rFonts w:ascii="宋体" w:eastAsia="宋体" w:hAnsi="宋体" w:hint="eastAsia"/>
              </w:rPr>
              <w:t>.</w:t>
            </w:r>
            <w:r w:rsidRPr="00E87E0A">
              <w:rPr>
                <w:rFonts w:ascii="宋体" w:eastAsia="宋体" w:hAnsi="宋体" w:hint="eastAsia"/>
              </w:rPr>
              <w:t>评级方案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B66C66" w14:textId="3CF938ED" w:rsidR="00B13471" w:rsidRPr="00E87E0A" w:rsidRDefault="00B13471" w:rsidP="00EB77A7">
            <w:pPr>
              <w:jc w:val="center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cs="Times New Roman" w:hint="eastAsia"/>
              </w:rPr>
              <w:t>25分</w:t>
            </w:r>
          </w:p>
        </w:tc>
        <w:tc>
          <w:tcPr>
            <w:tcW w:w="589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F3908B" w14:textId="77777777" w:rsidR="003E6278" w:rsidRPr="00E87E0A" w:rsidRDefault="003E6278" w:rsidP="00D804C3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line="276" w:lineRule="auto"/>
              <w:ind w:rightChars="100" w:right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E87E0A">
              <w:rPr>
                <w:rFonts w:ascii="宋体" w:eastAsia="宋体" w:hAnsi="宋体" w:cs="Times New Roman" w:hint="eastAsia"/>
                <w:kern w:val="0"/>
                <w:szCs w:val="21"/>
              </w:rPr>
              <w:t>1、评级方案内容准确、评级过程合理、评级服务高效，得18-25分；</w:t>
            </w:r>
          </w:p>
          <w:p w14:paraId="4FFD0A53" w14:textId="77777777" w:rsidR="003E6278" w:rsidRPr="00E87E0A" w:rsidRDefault="003E6278" w:rsidP="00D804C3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line="276" w:lineRule="auto"/>
              <w:ind w:rightChars="100" w:right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E87E0A">
              <w:rPr>
                <w:rFonts w:ascii="宋体" w:eastAsia="宋体" w:hAnsi="宋体" w:cs="Times New Roman" w:hint="eastAsia"/>
                <w:kern w:val="0"/>
                <w:szCs w:val="21"/>
              </w:rPr>
              <w:t>2、评级方案内容较为准确、评级过程较为合理、评级服务较为高效，得9-17分；</w:t>
            </w:r>
          </w:p>
          <w:p w14:paraId="3981E639" w14:textId="77777777" w:rsidR="003E6278" w:rsidRPr="00E87E0A" w:rsidRDefault="003E6278" w:rsidP="00D804C3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line="276" w:lineRule="auto"/>
              <w:ind w:rightChars="100" w:right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E87E0A">
              <w:rPr>
                <w:rFonts w:ascii="宋体" w:eastAsia="宋体" w:hAnsi="宋体" w:cs="Times New Roman" w:hint="eastAsia"/>
                <w:kern w:val="0"/>
                <w:szCs w:val="21"/>
              </w:rPr>
              <w:t>3、评级方案内容基本满足需求、有待进一步完善，得1-8分；</w:t>
            </w:r>
          </w:p>
          <w:p w14:paraId="07693862" w14:textId="4769EAE7" w:rsidR="00B13471" w:rsidRPr="00E87E0A" w:rsidRDefault="003E6278" w:rsidP="00D804C3">
            <w:pPr>
              <w:widowControl/>
              <w:numPr>
                <w:ilvl w:val="255"/>
                <w:numId w:val="0"/>
              </w:numPr>
              <w:adjustRightInd w:val="0"/>
              <w:snapToGrid w:val="0"/>
              <w:spacing w:line="276" w:lineRule="auto"/>
              <w:ind w:rightChars="100" w:right="210"/>
              <w:rPr>
                <w:rFonts w:ascii="宋体" w:eastAsia="宋体" w:hAnsi="宋体" w:cs="Times New Roman" w:hint="eastAsia"/>
              </w:rPr>
            </w:pPr>
            <w:r w:rsidRPr="00E87E0A">
              <w:rPr>
                <w:rFonts w:ascii="宋体" w:eastAsia="宋体" w:hAnsi="宋体" w:cs="Times New Roman" w:hint="eastAsia"/>
                <w:kern w:val="0"/>
                <w:szCs w:val="21"/>
              </w:rPr>
              <w:t>4、未提供评级方案不得分。</w:t>
            </w:r>
          </w:p>
        </w:tc>
      </w:tr>
    </w:tbl>
    <w:p w14:paraId="4F1983E0" w14:textId="77777777" w:rsidR="00B13471" w:rsidRPr="00EB77A7" w:rsidRDefault="00B13471" w:rsidP="00B13471">
      <w:pPr>
        <w:rPr>
          <w:rFonts w:ascii="宋体" w:eastAsia="宋体" w:hAnsi="宋体" w:cs="Times New Roman" w:hint="eastAsia"/>
        </w:rPr>
      </w:pPr>
    </w:p>
    <w:p w14:paraId="496BA04C" w14:textId="77777777" w:rsidR="00EE2813" w:rsidRPr="00B13471" w:rsidRDefault="00EE2813">
      <w:pPr>
        <w:rPr>
          <w:rFonts w:hint="eastAsia"/>
        </w:rPr>
      </w:pPr>
    </w:p>
    <w:sectPr w:rsidR="00EE2813" w:rsidRPr="00B13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CA8F" w14:textId="77777777" w:rsidR="001C2550" w:rsidRDefault="001C2550" w:rsidP="00DB4865">
      <w:pPr>
        <w:rPr>
          <w:rFonts w:hint="eastAsia"/>
        </w:rPr>
      </w:pPr>
      <w:r>
        <w:separator/>
      </w:r>
    </w:p>
  </w:endnote>
  <w:endnote w:type="continuationSeparator" w:id="0">
    <w:p w14:paraId="60C777CD" w14:textId="77777777" w:rsidR="001C2550" w:rsidRDefault="001C2550" w:rsidP="00DB48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8407" w14:textId="77777777" w:rsidR="001C2550" w:rsidRDefault="001C2550" w:rsidP="00DB4865">
      <w:pPr>
        <w:rPr>
          <w:rFonts w:hint="eastAsia"/>
        </w:rPr>
      </w:pPr>
      <w:r>
        <w:separator/>
      </w:r>
    </w:p>
  </w:footnote>
  <w:footnote w:type="continuationSeparator" w:id="0">
    <w:p w14:paraId="1A744977" w14:textId="77777777" w:rsidR="001C2550" w:rsidRDefault="001C2550" w:rsidP="00DB48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CAD"/>
    <w:rsid w:val="001970E1"/>
    <w:rsid w:val="001C2550"/>
    <w:rsid w:val="0032496B"/>
    <w:rsid w:val="003E6278"/>
    <w:rsid w:val="00481A77"/>
    <w:rsid w:val="006B267C"/>
    <w:rsid w:val="006E5FC7"/>
    <w:rsid w:val="00787E03"/>
    <w:rsid w:val="007E6393"/>
    <w:rsid w:val="00831AB0"/>
    <w:rsid w:val="008867F6"/>
    <w:rsid w:val="008D6A50"/>
    <w:rsid w:val="00AA5C5D"/>
    <w:rsid w:val="00B13471"/>
    <w:rsid w:val="00B26F33"/>
    <w:rsid w:val="00CB5B50"/>
    <w:rsid w:val="00D54CAD"/>
    <w:rsid w:val="00D804C3"/>
    <w:rsid w:val="00DB2D8E"/>
    <w:rsid w:val="00DB4865"/>
    <w:rsid w:val="00E87E0A"/>
    <w:rsid w:val="00EB77A7"/>
    <w:rsid w:val="00EE2813"/>
    <w:rsid w:val="00F4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43E92"/>
  <w15:chartTrackingRefBased/>
  <w15:docId w15:val="{F86BA554-EDC7-44A9-9686-429CD65F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C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C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C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C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C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C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C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C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CA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4C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C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C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C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C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4CAD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DB2D8E"/>
  </w:style>
  <w:style w:type="paragraph" w:styleId="af">
    <w:name w:val="header"/>
    <w:basedOn w:val="a"/>
    <w:link w:val="af0"/>
    <w:uiPriority w:val="99"/>
    <w:unhideWhenUsed/>
    <w:rsid w:val="00DB48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B486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B4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B4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285</Words>
  <Characters>309</Characters>
  <Application>Microsoft Office Word</Application>
  <DocSecurity>0</DocSecurity>
  <Lines>23</Lines>
  <Paragraphs>24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Liu</dc:creator>
  <cp:keywords/>
  <dc:description/>
  <cp:lastModifiedBy>J Liu</cp:lastModifiedBy>
  <cp:revision>15</cp:revision>
  <cp:lastPrinted>2026-04-09T00:09:00Z</cp:lastPrinted>
  <dcterms:created xsi:type="dcterms:W3CDTF">2026-04-08T00:11:00Z</dcterms:created>
  <dcterms:modified xsi:type="dcterms:W3CDTF">2026-04-09T00:43:00Z</dcterms:modified>
</cp:coreProperties>
</file>