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2B76" w14:textId="77777777" w:rsidR="00FF77C0" w:rsidRDefault="00000000">
      <w:pPr>
        <w:rPr>
          <w:rFonts w:hint="eastAsia"/>
          <w:b/>
          <w:bCs/>
        </w:rPr>
      </w:pPr>
      <w:r>
        <w:rPr>
          <w:rFonts w:hint="eastAsia"/>
          <w:b/>
          <w:bCs/>
        </w:rPr>
        <w:t>万科16号楼2单元安防系统</w:t>
      </w:r>
      <w:r>
        <w:rPr>
          <w:b/>
          <w:bCs/>
        </w:rPr>
        <w:t>评分标准及评分办法</w:t>
      </w:r>
    </w:p>
    <w:p w14:paraId="06302B77" w14:textId="77777777" w:rsidR="00FF77C0" w:rsidRDefault="00000000">
      <w:pPr>
        <w:rPr>
          <w:rFonts w:hint="eastAsia"/>
        </w:rPr>
      </w:pPr>
      <w:r>
        <w:t>本次评标采用</w:t>
      </w:r>
      <w:r>
        <w:rPr>
          <w:b/>
          <w:bCs/>
        </w:rPr>
        <w:t>综合评分法</w:t>
      </w:r>
      <w:r>
        <w:t>。满分100分，由</w:t>
      </w:r>
      <w:r>
        <w:rPr>
          <w:b/>
          <w:bCs/>
        </w:rPr>
        <w:t>技术</w:t>
      </w:r>
      <w:r>
        <w:rPr>
          <w:rFonts w:hint="eastAsia"/>
          <w:b/>
          <w:bCs/>
        </w:rPr>
        <w:t>标</w:t>
      </w:r>
      <w:r>
        <w:t>和</w:t>
      </w:r>
      <w:proofErr w:type="gramStart"/>
      <w:r>
        <w:rPr>
          <w:rFonts w:hint="eastAsia"/>
          <w:b/>
          <w:bCs/>
        </w:rPr>
        <w:t>商务标</w:t>
      </w:r>
      <w:r>
        <w:t>两部分</w:t>
      </w:r>
      <w:proofErr w:type="gramEnd"/>
      <w:r>
        <w:t>构成。</w:t>
      </w:r>
    </w:p>
    <w:p w14:paraId="06302B78" w14:textId="77777777" w:rsidR="00FF77C0" w:rsidRDefault="00000000">
      <w:pPr>
        <w:rPr>
          <w:rFonts w:hint="eastAsia"/>
          <w:b/>
          <w:bCs/>
        </w:rPr>
      </w:pPr>
      <w:r>
        <w:rPr>
          <w:b/>
          <w:bCs/>
        </w:rPr>
        <w:t>三、 评分标准明细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5891"/>
      </w:tblGrid>
      <w:tr w:rsidR="00FF77C0" w14:paraId="06302B7C" w14:textId="77777777">
        <w:trPr>
          <w:tblHeader/>
        </w:trPr>
        <w:tc>
          <w:tcPr>
            <w:tcW w:w="1271" w:type="dxa"/>
            <w:tcMar>
              <w:top w:w="150" w:type="dxa"/>
              <w:left w:w="0" w:type="dxa"/>
              <w:bottom w:w="150" w:type="dxa"/>
              <w:right w:w="240" w:type="dxa"/>
            </w:tcMar>
            <w:vAlign w:val="center"/>
          </w:tcPr>
          <w:p w14:paraId="06302B79" w14:textId="77777777" w:rsidR="00FF77C0" w:rsidRDefault="00000000">
            <w:pPr>
              <w:rPr>
                <w:rFonts w:hint="eastAsia"/>
              </w:rPr>
            </w:pPr>
            <w:r>
              <w:rPr>
                <w:b/>
                <w:bCs/>
              </w:rPr>
              <w:t>评分因素</w:t>
            </w:r>
          </w:p>
        </w:tc>
        <w:tc>
          <w:tcPr>
            <w:tcW w:w="1134" w:type="dxa"/>
            <w:tcMar>
              <w:top w:w="150" w:type="dxa"/>
              <w:left w:w="240" w:type="dxa"/>
              <w:bottom w:w="150" w:type="dxa"/>
              <w:right w:w="240" w:type="dxa"/>
            </w:tcMar>
            <w:vAlign w:val="center"/>
          </w:tcPr>
          <w:p w14:paraId="06302B7A" w14:textId="77777777" w:rsidR="00FF77C0" w:rsidRDefault="00000000">
            <w:pPr>
              <w:rPr>
                <w:rFonts w:hint="eastAsia"/>
              </w:rPr>
            </w:pPr>
            <w:r>
              <w:rPr>
                <w:b/>
                <w:bCs/>
              </w:rPr>
              <w:t>分值</w:t>
            </w:r>
          </w:p>
        </w:tc>
        <w:tc>
          <w:tcPr>
            <w:tcW w:w="5891" w:type="dxa"/>
            <w:tcMar>
              <w:top w:w="150" w:type="dxa"/>
              <w:left w:w="240" w:type="dxa"/>
              <w:bottom w:w="150" w:type="dxa"/>
              <w:right w:w="240" w:type="dxa"/>
            </w:tcMar>
            <w:vAlign w:val="center"/>
          </w:tcPr>
          <w:p w14:paraId="06302B7B" w14:textId="77777777" w:rsidR="00FF77C0" w:rsidRDefault="00000000">
            <w:pPr>
              <w:rPr>
                <w:rFonts w:hint="eastAsia"/>
              </w:rPr>
            </w:pPr>
            <w:r>
              <w:rPr>
                <w:b/>
                <w:bCs/>
              </w:rPr>
              <w:t>评分细则</w:t>
            </w:r>
          </w:p>
        </w:tc>
      </w:tr>
      <w:tr w:rsidR="00FF77C0" w14:paraId="06302B80" w14:textId="77777777">
        <w:tc>
          <w:tcPr>
            <w:tcW w:w="1271" w:type="dxa"/>
            <w:tcMar>
              <w:top w:w="150" w:type="dxa"/>
              <w:left w:w="0" w:type="dxa"/>
              <w:bottom w:w="150" w:type="dxa"/>
              <w:right w:w="240" w:type="dxa"/>
            </w:tcMar>
            <w:vAlign w:val="center"/>
          </w:tcPr>
          <w:p w14:paraId="06302B7D" w14:textId="77777777" w:rsidR="00FF77C0" w:rsidRDefault="00000000">
            <w:pPr>
              <w:rPr>
                <w:rFonts w:hint="eastAsia"/>
              </w:rPr>
            </w:pPr>
            <w:r>
              <w:rPr>
                <w:b/>
                <w:bCs/>
              </w:rPr>
              <w:t>技术部分</w:t>
            </w:r>
          </w:p>
        </w:tc>
        <w:tc>
          <w:tcPr>
            <w:tcW w:w="1134" w:type="dxa"/>
            <w:tcMar>
              <w:top w:w="150" w:type="dxa"/>
              <w:left w:w="240" w:type="dxa"/>
              <w:bottom w:w="150" w:type="dxa"/>
              <w:right w:w="240" w:type="dxa"/>
            </w:tcMar>
            <w:vAlign w:val="center"/>
          </w:tcPr>
          <w:p w14:paraId="06302B7E" w14:textId="77777777" w:rsidR="00FF77C0" w:rsidRDefault="00000000">
            <w:pPr>
              <w:rPr>
                <w:rFonts w:hint="eastAsia"/>
              </w:rPr>
            </w:pPr>
            <w:r>
              <w:rPr>
                <w:rFonts w:hint="eastAsia"/>
                <w:b/>
                <w:bCs/>
              </w:rPr>
              <w:t>60</w:t>
            </w:r>
            <w:r>
              <w:rPr>
                <w:b/>
                <w:bCs/>
              </w:rPr>
              <w:t>分</w:t>
            </w:r>
          </w:p>
        </w:tc>
        <w:tc>
          <w:tcPr>
            <w:tcW w:w="5891" w:type="dxa"/>
            <w:tcMar>
              <w:top w:w="150" w:type="dxa"/>
              <w:left w:w="240" w:type="dxa"/>
              <w:bottom w:w="150" w:type="dxa"/>
              <w:right w:w="0" w:type="dxa"/>
            </w:tcMar>
            <w:vAlign w:val="center"/>
          </w:tcPr>
          <w:p w14:paraId="06302B7F" w14:textId="77777777" w:rsidR="00FF77C0" w:rsidRDefault="00FF77C0">
            <w:pPr>
              <w:rPr>
                <w:rFonts w:hint="eastAsia"/>
              </w:rPr>
            </w:pPr>
          </w:p>
        </w:tc>
      </w:tr>
      <w:tr w:rsidR="00FF77C0" w14:paraId="06302B87" w14:textId="77777777" w:rsidTr="00782402">
        <w:trPr>
          <w:trHeight w:val="3132"/>
        </w:trPr>
        <w:tc>
          <w:tcPr>
            <w:tcW w:w="1271" w:type="dxa"/>
            <w:tcMar>
              <w:top w:w="150" w:type="dxa"/>
              <w:left w:w="0" w:type="dxa"/>
              <w:bottom w:w="150" w:type="dxa"/>
              <w:right w:w="240" w:type="dxa"/>
            </w:tcMar>
            <w:vAlign w:val="center"/>
          </w:tcPr>
          <w:p w14:paraId="06302B81" w14:textId="77777777" w:rsidR="00FF77C0" w:rsidRDefault="00000000">
            <w:pPr>
              <w:rPr>
                <w:rFonts w:hint="eastAsia"/>
              </w:rPr>
            </w:pPr>
            <w:r>
              <w:rPr>
                <w:rFonts w:hint="eastAsia"/>
              </w:rPr>
              <w:t>1</w:t>
            </w:r>
            <w:r>
              <w:t>. 供货、安装与调试方案</w:t>
            </w:r>
          </w:p>
        </w:tc>
        <w:tc>
          <w:tcPr>
            <w:tcW w:w="1134" w:type="dxa"/>
            <w:tcMar>
              <w:top w:w="150" w:type="dxa"/>
              <w:left w:w="240" w:type="dxa"/>
              <w:bottom w:w="150" w:type="dxa"/>
              <w:right w:w="240" w:type="dxa"/>
            </w:tcMar>
            <w:vAlign w:val="center"/>
          </w:tcPr>
          <w:p w14:paraId="06302B82" w14:textId="77777777" w:rsidR="00FF77C0" w:rsidRDefault="00000000">
            <w:pPr>
              <w:rPr>
                <w:rFonts w:hint="eastAsia"/>
              </w:rPr>
            </w:pPr>
            <w:r>
              <w:rPr>
                <w:rFonts w:hint="eastAsia"/>
              </w:rPr>
              <w:t>15</w:t>
            </w:r>
            <w:r>
              <w:t>分</w:t>
            </w:r>
          </w:p>
        </w:tc>
        <w:tc>
          <w:tcPr>
            <w:tcW w:w="5891" w:type="dxa"/>
            <w:tcMar>
              <w:top w:w="150" w:type="dxa"/>
              <w:left w:w="240" w:type="dxa"/>
              <w:bottom w:w="150" w:type="dxa"/>
              <w:right w:w="0" w:type="dxa"/>
            </w:tcMar>
            <w:vAlign w:val="center"/>
          </w:tcPr>
          <w:p w14:paraId="06302B83" w14:textId="77777777" w:rsidR="00FF77C0" w:rsidRDefault="00000000">
            <w:pPr>
              <w:rPr>
                <w:rFonts w:hint="eastAsia"/>
              </w:rPr>
            </w:pPr>
            <w:r>
              <w:t>投标人须提供针对本项目的详细实施方案，内容包括：供货周期、安装流程、调试标准、与安防系统的接口配合（如需要）、成品保护措施等。</w:t>
            </w:r>
            <w:r>
              <w:br/>
              <w:t>1.方案详尽、科学、流程清晰，能充分保障项目顺利实施</w:t>
            </w:r>
            <w:r>
              <w:rPr>
                <w:lang w:bidi="ar"/>
              </w:rPr>
              <w:t>，得</w:t>
            </w:r>
            <w:r>
              <w:rPr>
                <w:rFonts w:hint="eastAsia"/>
                <w:lang w:bidi="ar"/>
              </w:rPr>
              <w:t>11-15</w:t>
            </w:r>
            <w:r>
              <w:rPr>
                <w:lang w:bidi="ar"/>
              </w:rPr>
              <w:t>分</w:t>
            </w:r>
            <w:r>
              <w:t>。</w:t>
            </w:r>
          </w:p>
          <w:p w14:paraId="06302B84" w14:textId="77777777" w:rsidR="00FF77C0" w:rsidRDefault="00000000">
            <w:pPr>
              <w:rPr>
                <w:rFonts w:hint="eastAsia"/>
              </w:rPr>
            </w:pPr>
            <w:r>
              <w:t>2.方案较详尽，可行性较强</w:t>
            </w:r>
            <w:r>
              <w:rPr>
                <w:lang w:bidi="ar"/>
              </w:rPr>
              <w:t>，得</w:t>
            </w:r>
            <w:r>
              <w:rPr>
                <w:rFonts w:hint="eastAsia"/>
                <w:lang w:bidi="ar"/>
              </w:rPr>
              <w:t>6-10</w:t>
            </w:r>
            <w:r>
              <w:rPr>
                <w:lang w:bidi="ar"/>
              </w:rPr>
              <w:t>分</w:t>
            </w:r>
            <w:r>
              <w:t>。</w:t>
            </w:r>
          </w:p>
          <w:p w14:paraId="06302B85" w14:textId="77777777" w:rsidR="00FF77C0" w:rsidRDefault="00000000">
            <w:pPr>
              <w:rPr>
                <w:rFonts w:hint="eastAsia"/>
              </w:rPr>
            </w:pPr>
            <w:r>
              <w:t>3.方案基本完整，但可行性一般</w:t>
            </w:r>
            <w:r>
              <w:rPr>
                <w:lang w:bidi="ar"/>
              </w:rPr>
              <w:t>，得</w:t>
            </w:r>
            <w:r>
              <w:rPr>
                <w:rFonts w:hint="eastAsia"/>
                <w:lang w:bidi="ar"/>
              </w:rPr>
              <w:t>1-5</w:t>
            </w:r>
            <w:r>
              <w:rPr>
                <w:lang w:bidi="ar"/>
              </w:rPr>
              <w:t>分</w:t>
            </w:r>
            <w:r>
              <w:t>。</w:t>
            </w:r>
          </w:p>
          <w:p w14:paraId="06302B86" w14:textId="77777777" w:rsidR="00FF77C0" w:rsidRDefault="00000000">
            <w:pPr>
              <w:rPr>
                <w:rFonts w:hint="eastAsia"/>
              </w:rPr>
            </w:pPr>
            <w:r>
              <w:t>4.未提供或较差，得0分。</w:t>
            </w:r>
          </w:p>
        </w:tc>
      </w:tr>
      <w:tr w:rsidR="00FF77C0" w14:paraId="06302B8F" w14:textId="77777777" w:rsidTr="00782402">
        <w:trPr>
          <w:trHeight w:val="3129"/>
        </w:trPr>
        <w:tc>
          <w:tcPr>
            <w:tcW w:w="1271" w:type="dxa"/>
            <w:tcMar>
              <w:top w:w="150" w:type="dxa"/>
              <w:left w:w="0" w:type="dxa"/>
              <w:bottom w:w="150" w:type="dxa"/>
              <w:right w:w="240" w:type="dxa"/>
            </w:tcMar>
            <w:vAlign w:val="center"/>
          </w:tcPr>
          <w:p w14:paraId="06302B88" w14:textId="77777777" w:rsidR="00FF77C0" w:rsidRDefault="00000000">
            <w:pPr>
              <w:widowControl/>
              <w:autoSpaceDE w:val="0"/>
              <w:autoSpaceDN w:val="0"/>
              <w:spacing w:line="360" w:lineRule="atLeast"/>
              <w:jc w:val="both"/>
              <w:rPr>
                <w:rFonts w:ascii="仿宋" w:eastAsia="仿宋" w:hAnsi="仿宋" w:cs="仿宋" w:hint="eastAsia"/>
                <w:color w:val="000000"/>
                <w:kern w:val="0"/>
                <w:szCs w:val="21"/>
                <w:lang w:bidi="ar"/>
              </w:rPr>
            </w:pPr>
            <w:r>
              <w:rPr>
                <w:rFonts w:hint="eastAsia"/>
                <w:lang w:bidi="ar"/>
              </w:rPr>
              <w:t>2.</w:t>
            </w:r>
            <w:r>
              <w:rPr>
                <w:lang w:bidi="ar"/>
              </w:rPr>
              <w:t>施工进度计划和各阶段进度的保证措施</w:t>
            </w:r>
          </w:p>
        </w:tc>
        <w:tc>
          <w:tcPr>
            <w:tcW w:w="1134" w:type="dxa"/>
            <w:tcMar>
              <w:top w:w="150" w:type="dxa"/>
              <w:left w:w="240" w:type="dxa"/>
              <w:bottom w:w="150" w:type="dxa"/>
              <w:right w:w="240" w:type="dxa"/>
            </w:tcMar>
            <w:vAlign w:val="center"/>
          </w:tcPr>
          <w:p w14:paraId="06302B89" w14:textId="77777777" w:rsidR="00FF77C0" w:rsidRDefault="00000000">
            <w:pPr>
              <w:widowControl/>
              <w:autoSpaceDE w:val="0"/>
              <w:autoSpaceDN w:val="0"/>
              <w:spacing w:line="360" w:lineRule="atLeast"/>
              <w:jc w:val="center"/>
              <w:rPr>
                <w:rFonts w:ascii="仿宋" w:eastAsia="仿宋" w:hAnsi="仿宋" w:cs="仿宋" w:hint="eastAsia"/>
                <w:color w:val="000000"/>
                <w:kern w:val="0"/>
                <w:szCs w:val="21"/>
                <w:lang w:bidi="ar"/>
              </w:rPr>
            </w:pPr>
            <w:r>
              <w:rPr>
                <w:rFonts w:hint="eastAsia"/>
                <w:lang w:bidi="ar"/>
              </w:rPr>
              <w:t>15</w:t>
            </w:r>
            <w:r>
              <w:rPr>
                <w:lang w:bidi="ar"/>
              </w:rPr>
              <w:t>分</w:t>
            </w:r>
          </w:p>
        </w:tc>
        <w:tc>
          <w:tcPr>
            <w:tcW w:w="5891" w:type="dxa"/>
            <w:tcMar>
              <w:top w:w="150" w:type="dxa"/>
              <w:left w:w="240" w:type="dxa"/>
              <w:bottom w:w="150" w:type="dxa"/>
              <w:right w:w="0" w:type="dxa"/>
            </w:tcMar>
          </w:tcPr>
          <w:p w14:paraId="06302B8A" w14:textId="77777777" w:rsidR="00FF77C0" w:rsidRDefault="00000000">
            <w:pPr>
              <w:widowControl/>
              <w:spacing w:line="240" w:lineRule="auto"/>
              <w:rPr>
                <w:rFonts w:hint="eastAsia"/>
                <w:lang w:bidi="ar"/>
              </w:rPr>
            </w:pPr>
            <w:r>
              <w:rPr>
                <w:lang w:bidi="ar"/>
              </w:rPr>
              <w:t>针对项目实际情况，关键线路选择合理、清晰；关键节点控制措施合理；各进度节点保障措施明确。</w:t>
            </w:r>
          </w:p>
          <w:p w14:paraId="06302B8B" w14:textId="77777777" w:rsidR="00FF77C0" w:rsidRDefault="00000000">
            <w:pPr>
              <w:spacing w:line="240" w:lineRule="auto"/>
              <w:rPr>
                <w:rFonts w:hint="eastAsia"/>
                <w:lang w:bidi="ar"/>
              </w:rPr>
            </w:pPr>
            <w:r>
              <w:rPr>
                <w:lang w:bidi="ar"/>
              </w:rPr>
              <w:t>1.施工进度计划和各阶段进度保证措施内容全面完整详细，可行性、实用性、针对性强的，得</w:t>
            </w:r>
            <w:r>
              <w:rPr>
                <w:rFonts w:hint="eastAsia"/>
                <w:lang w:bidi="ar"/>
              </w:rPr>
              <w:t>11-15</w:t>
            </w:r>
            <w:r>
              <w:rPr>
                <w:lang w:bidi="ar"/>
              </w:rPr>
              <w:t>分</w:t>
            </w:r>
            <w:r>
              <w:rPr>
                <w:rFonts w:hint="eastAsia"/>
                <w:lang w:bidi="ar"/>
              </w:rPr>
              <w:t>。</w:t>
            </w:r>
            <w:r>
              <w:rPr>
                <w:lang w:bidi="ar"/>
              </w:rPr>
              <w:t xml:space="preserve"> </w:t>
            </w:r>
          </w:p>
          <w:p w14:paraId="06302B8C" w14:textId="77777777" w:rsidR="00FF77C0" w:rsidRDefault="00000000">
            <w:pPr>
              <w:spacing w:line="240" w:lineRule="auto"/>
              <w:rPr>
                <w:rFonts w:hint="eastAsia"/>
                <w:lang w:bidi="ar"/>
              </w:rPr>
            </w:pPr>
            <w:r>
              <w:rPr>
                <w:lang w:bidi="ar"/>
              </w:rPr>
              <w:t>2.施工进度计划和各阶段进度保证措施内容完整详细，具有可行性、实用性和针对性的，得</w:t>
            </w:r>
            <w:r>
              <w:rPr>
                <w:rFonts w:hint="eastAsia"/>
                <w:lang w:bidi="ar"/>
              </w:rPr>
              <w:t>6-10</w:t>
            </w:r>
            <w:r>
              <w:rPr>
                <w:lang w:bidi="ar"/>
              </w:rPr>
              <w:t>分</w:t>
            </w:r>
            <w:r>
              <w:rPr>
                <w:rFonts w:hint="eastAsia"/>
                <w:lang w:bidi="ar"/>
              </w:rPr>
              <w:t>。</w:t>
            </w:r>
            <w:r>
              <w:rPr>
                <w:lang w:bidi="ar"/>
              </w:rPr>
              <w:t xml:space="preserve"> </w:t>
            </w:r>
          </w:p>
          <w:p w14:paraId="06302B8D" w14:textId="77777777" w:rsidR="00FF77C0" w:rsidRDefault="00000000">
            <w:pPr>
              <w:spacing w:line="240" w:lineRule="auto"/>
              <w:rPr>
                <w:rFonts w:hint="eastAsia"/>
                <w:lang w:bidi="ar"/>
              </w:rPr>
            </w:pPr>
            <w:r>
              <w:rPr>
                <w:lang w:bidi="ar"/>
              </w:rPr>
              <w:t>3.施工进度计划和各阶段进度保证措施内容可行性、实用性、针对性有待改善的，得</w:t>
            </w:r>
            <w:r>
              <w:rPr>
                <w:rFonts w:hint="eastAsia"/>
                <w:lang w:bidi="ar"/>
              </w:rPr>
              <w:t>1-5</w:t>
            </w:r>
            <w:r>
              <w:rPr>
                <w:lang w:bidi="ar"/>
              </w:rPr>
              <w:t>分</w:t>
            </w:r>
            <w:r>
              <w:rPr>
                <w:rFonts w:hint="eastAsia"/>
                <w:lang w:bidi="ar"/>
              </w:rPr>
              <w:t>。</w:t>
            </w:r>
          </w:p>
          <w:p w14:paraId="06302B8E" w14:textId="77777777" w:rsidR="00FF77C0" w:rsidRDefault="00000000">
            <w:pPr>
              <w:widowControl/>
              <w:spacing w:line="240" w:lineRule="auto"/>
              <w:rPr>
                <w:rFonts w:hint="eastAsia"/>
                <w:lang w:bidi="ar"/>
              </w:rPr>
            </w:pPr>
            <w:r>
              <w:rPr>
                <w:lang w:bidi="ar"/>
              </w:rPr>
              <w:t>4.内容不可行或者未提供相关内容的</w:t>
            </w:r>
            <w:r>
              <w:t>，得0分</w:t>
            </w:r>
            <w:r>
              <w:rPr>
                <w:lang w:bidi="ar"/>
              </w:rPr>
              <w:t>。</w:t>
            </w:r>
          </w:p>
        </w:tc>
      </w:tr>
      <w:tr w:rsidR="00FF77C0" w14:paraId="06302B97" w14:textId="77777777" w:rsidTr="00782402">
        <w:trPr>
          <w:trHeight w:val="1000"/>
        </w:trPr>
        <w:tc>
          <w:tcPr>
            <w:tcW w:w="1271" w:type="dxa"/>
            <w:tcMar>
              <w:top w:w="150" w:type="dxa"/>
              <w:left w:w="0" w:type="dxa"/>
              <w:bottom w:w="150" w:type="dxa"/>
              <w:right w:w="240" w:type="dxa"/>
            </w:tcMar>
            <w:vAlign w:val="center"/>
          </w:tcPr>
          <w:p w14:paraId="06302B90" w14:textId="77777777" w:rsidR="00FF77C0" w:rsidRDefault="00000000">
            <w:pPr>
              <w:widowControl/>
              <w:spacing w:line="240" w:lineRule="auto"/>
              <w:rPr>
                <w:rFonts w:hint="eastAsia"/>
              </w:rPr>
            </w:pPr>
            <w:r>
              <w:rPr>
                <w:rFonts w:hint="eastAsia"/>
                <w:lang w:bidi="ar"/>
              </w:rPr>
              <w:t>3.</w:t>
            </w:r>
            <w:r>
              <w:rPr>
                <w:lang w:bidi="ar"/>
              </w:rPr>
              <w:t>安全文明措施</w:t>
            </w:r>
          </w:p>
        </w:tc>
        <w:tc>
          <w:tcPr>
            <w:tcW w:w="1134" w:type="dxa"/>
            <w:tcMar>
              <w:top w:w="150" w:type="dxa"/>
              <w:left w:w="240" w:type="dxa"/>
              <w:bottom w:w="150" w:type="dxa"/>
              <w:right w:w="240" w:type="dxa"/>
            </w:tcMar>
            <w:vAlign w:val="center"/>
          </w:tcPr>
          <w:p w14:paraId="06302B91" w14:textId="77777777" w:rsidR="00FF77C0" w:rsidRDefault="00000000">
            <w:pPr>
              <w:spacing w:line="240" w:lineRule="auto"/>
              <w:rPr>
                <w:rFonts w:hint="eastAsia"/>
              </w:rPr>
            </w:pPr>
            <w:r>
              <w:rPr>
                <w:rFonts w:hint="eastAsia"/>
              </w:rPr>
              <w:t>15</w:t>
            </w:r>
            <w:r>
              <w:t>分</w:t>
            </w:r>
          </w:p>
        </w:tc>
        <w:tc>
          <w:tcPr>
            <w:tcW w:w="5891" w:type="dxa"/>
            <w:tcMar>
              <w:top w:w="150" w:type="dxa"/>
              <w:left w:w="240" w:type="dxa"/>
              <w:bottom w:w="150" w:type="dxa"/>
              <w:right w:w="0" w:type="dxa"/>
            </w:tcMar>
          </w:tcPr>
          <w:p w14:paraId="06302B92" w14:textId="77777777" w:rsidR="00FF77C0" w:rsidRDefault="00000000">
            <w:pPr>
              <w:widowControl/>
              <w:spacing w:line="240" w:lineRule="auto"/>
              <w:rPr>
                <w:rFonts w:hint="eastAsia"/>
                <w:lang w:bidi="ar"/>
              </w:rPr>
            </w:pPr>
            <w:r>
              <w:rPr>
                <w:lang w:bidi="ar"/>
              </w:rPr>
              <w:t>针对项目实际情况，有相应的安全目标和保证措施，措施完整、可行、科学，适用规范正确，满足规范要求。</w:t>
            </w:r>
          </w:p>
          <w:p w14:paraId="06302B93" w14:textId="77777777" w:rsidR="00FF77C0" w:rsidRDefault="00000000">
            <w:pPr>
              <w:widowControl/>
              <w:spacing w:line="240" w:lineRule="auto"/>
              <w:rPr>
                <w:rFonts w:hint="eastAsia"/>
                <w:lang w:bidi="ar"/>
              </w:rPr>
            </w:pPr>
            <w:r>
              <w:rPr>
                <w:lang w:bidi="ar"/>
              </w:rPr>
              <w:t>1.安全文明措施内容详细完整，可行性、实用性、针对性强的，得</w:t>
            </w:r>
            <w:r>
              <w:rPr>
                <w:rFonts w:hint="eastAsia"/>
                <w:lang w:bidi="ar"/>
              </w:rPr>
              <w:t>11-15</w:t>
            </w:r>
            <w:r>
              <w:rPr>
                <w:lang w:bidi="ar"/>
              </w:rPr>
              <w:t>分</w:t>
            </w:r>
            <w:r>
              <w:rPr>
                <w:rFonts w:hint="eastAsia"/>
                <w:lang w:bidi="ar"/>
              </w:rPr>
              <w:t>。</w:t>
            </w:r>
            <w:r>
              <w:rPr>
                <w:lang w:bidi="ar"/>
              </w:rPr>
              <w:t xml:space="preserve"> </w:t>
            </w:r>
          </w:p>
          <w:p w14:paraId="06302B94" w14:textId="77777777" w:rsidR="00FF77C0" w:rsidRDefault="00000000">
            <w:pPr>
              <w:widowControl/>
              <w:spacing w:line="240" w:lineRule="auto"/>
              <w:rPr>
                <w:rFonts w:hint="eastAsia"/>
                <w:lang w:bidi="ar"/>
              </w:rPr>
            </w:pPr>
            <w:r>
              <w:rPr>
                <w:lang w:bidi="ar"/>
              </w:rPr>
              <w:t>2.安全文明措施内容完整，具有可行性、实用性和针对性的，得</w:t>
            </w:r>
            <w:r>
              <w:rPr>
                <w:rFonts w:hint="eastAsia"/>
                <w:lang w:bidi="ar"/>
              </w:rPr>
              <w:t>6-10</w:t>
            </w:r>
            <w:r>
              <w:rPr>
                <w:lang w:bidi="ar"/>
              </w:rPr>
              <w:t>分</w:t>
            </w:r>
            <w:r>
              <w:rPr>
                <w:rFonts w:hint="eastAsia"/>
                <w:lang w:bidi="ar"/>
              </w:rPr>
              <w:t>。</w:t>
            </w:r>
            <w:r>
              <w:rPr>
                <w:lang w:bidi="ar"/>
              </w:rPr>
              <w:t xml:space="preserve"> </w:t>
            </w:r>
          </w:p>
          <w:p w14:paraId="06302B95" w14:textId="77777777" w:rsidR="00FF77C0" w:rsidRDefault="00000000">
            <w:pPr>
              <w:widowControl/>
              <w:spacing w:line="240" w:lineRule="auto"/>
              <w:rPr>
                <w:rFonts w:hint="eastAsia"/>
                <w:lang w:bidi="ar"/>
              </w:rPr>
            </w:pPr>
            <w:r>
              <w:rPr>
                <w:lang w:bidi="ar"/>
              </w:rPr>
              <w:lastRenderedPageBreak/>
              <w:t>3.安全文明措施内容可行性、实用性、针对性有待改善的，得</w:t>
            </w:r>
            <w:r>
              <w:rPr>
                <w:rFonts w:hint="eastAsia"/>
                <w:lang w:bidi="ar"/>
              </w:rPr>
              <w:t>1-5</w:t>
            </w:r>
            <w:r>
              <w:rPr>
                <w:lang w:bidi="ar"/>
              </w:rPr>
              <w:t>分</w:t>
            </w:r>
            <w:r>
              <w:rPr>
                <w:rFonts w:hint="eastAsia"/>
                <w:lang w:bidi="ar"/>
              </w:rPr>
              <w:t>。</w:t>
            </w:r>
            <w:r>
              <w:rPr>
                <w:lang w:bidi="ar"/>
              </w:rPr>
              <w:t xml:space="preserve"> </w:t>
            </w:r>
          </w:p>
          <w:p w14:paraId="06302B96" w14:textId="77777777" w:rsidR="00FF77C0" w:rsidRDefault="00000000">
            <w:pPr>
              <w:spacing w:line="240" w:lineRule="auto"/>
              <w:rPr>
                <w:rFonts w:hint="eastAsia"/>
              </w:rPr>
            </w:pPr>
            <w:r>
              <w:rPr>
                <w:lang w:bidi="ar"/>
              </w:rPr>
              <w:t>4.内容不可行或者未提供相关内容的</w:t>
            </w:r>
            <w:r>
              <w:t>，得0分</w:t>
            </w:r>
            <w:r>
              <w:rPr>
                <w:lang w:bidi="ar"/>
              </w:rPr>
              <w:t>。</w:t>
            </w:r>
          </w:p>
        </w:tc>
      </w:tr>
      <w:tr w:rsidR="00FF77C0" w14:paraId="06302B9F" w14:textId="77777777" w:rsidTr="00782402">
        <w:trPr>
          <w:trHeight w:val="3120"/>
        </w:trPr>
        <w:tc>
          <w:tcPr>
            <w:tcW w:w="1271" w:type="dxa"/>
            <w:tcMar>
              <w:top w:w="150" w:type="dxa"/>
              <w:left w:w="0" w:type="dxa"/>
              <w:bottom w:w="150" w:type="dxa"/>
              <w:right w:w="240" w:type="dxa"/>
            </w:tcMar>
            <w:vAlign w:val="center"/>
          </w:tcPr>
          <w:p w14:paraId="06302B98" w14:textId="77777777" w:rsidR="00FF77C0" w:rsidRDefault="00000000">
            <w:pPr>
              <w:rPr>
                <w:rFonts w:hint="eastAsia"/>
              </w:rPr>
            </w:pPr>
            <w:r>
              <w:rPr>
                <w:rFonts w:hint="eastAsia"/>
              </w:rPr>
              <w:lastRenderedPageBreak/>
              <w:t>4</w:t>
            </w:r>
            <w:r>
              <w:t>. 售后服务与质保</w:t>
            </w:r>
          </w:p>
        </w:tc>
        <w:tc>
          <w:tcPr>
            <w:tcW w:w="1134" w:type="dxa"/>
            <w:tcMar>
              <w:top w:w="150" w:type="dxa"/>
              <w:left w:w="240" w:type="dxa"/>
              <w:bottom w:w="150" w:type="dxa"/>
              <w:right w:w="240" w:type="dxa"/>
            </w:tcMar>
            <w:vAlign w:val="center"/>
          </w:tcPr>
          <w:p w14:paraId="06302B99" w14:textId="77777777" w:rsidR="00FF77C0" w:rsidRDefault="00000000">
            <w:pPr>
              <w:rPr>
                <w:rFonts w:hint="eastAsia"/>
              </w:rPr>
            </w:pPr>
            <w:r>
              <w:rPr>
                <w:rFonts w:hint="eastAsia"/>
              </w:rPr>
              <w:t>15</w:t>
            </w:r>
            <w:r>
              <w:t>分</w:t>
            </w:r>
          </w:p>
        </w:tc>
        <w:tc>
          <w:tcPr>
            <w:tcW w:w="5891" w:type="dxa"/>
            <w:tcMar>
              <w:top w:w="150" w:type="dxa"/>
              <w:left w:w="240" w:type="dxa"/>
              <w:bottom w:w="150" w:type="dxa"/>
              <w:right w:w="0" w:type="dxa"/>
            </w:tcMar>
            <w:vAlign w:val="center"/>
          </w:tcPr>
          <w:p w14:paraId="06302B9A" w14:textId="77777777" w:rsidR="00FF77C0" w:rsidRDefault="00000000">
            <w:pPr>
              <w:spacing w:before="160" w:line="240" w:lineRule="auto"/>
              <w:rPr>
                <w:rFonts w:hint="eastAsia"/>
                <w:lang w:bidi="ar"/>
              </w:rPr>
            </w:pPr>
            <w:r>
              <w:rPr>
                <w:lang w:bidi="ar"/>
              </w:rPr>
              <w:t>投标人须提供售后服务方案，内容包括：质保期限、故障响应时间及解决时限、备品备件供应、本地化服务团队。</w:t>
            </w:r>
          </w:p>
          <w:p w14:paraId="06302B9B" w14:textId="78A1FBAC" w:rsidR="00FF77C0" w:rsidRDefault="00000000">
            <w:pPr>
              <w:spacing w:before="160" w:line="240" w:lineRule="auto"/>
              <w:rPr>
                <w:rFonts w:hint="eastAsia"/>
                <w:lang w:bidi="ar"/>
              </w:rPr>
            </w:pPr>
            <w:r>
              <w:rPr>
                <w:lang w:bidi="ar"/>
              </w:rPr>
              <w:t>1.提供3年及</w:t>
            </w:r>
            <w:proofErr w:type="gramStart"/>
            <w:r>
              <w:rPr>
                <w:lang w:bidi="ar"/>
              </w:rPr>
              <w:t>以上质</w:t>
            </w:r>
            <w:proofErr w:type="gramEnd"/>
            <w:r>
              <w:rPr>
                <w:lang w:bidi="ar"/>
              </w:rPr>
              <w:t>保，响应机制迅捷（如7x24小时响应，24小时内上门），</w:t>
            </w:r>
            <w:r>
              <w:rPr>
                <w:rFonts w:hint="eastAsia"/>
                <w:lang w:bidi="ar"/>
              </w:rPr>
              <w:t>售后服务</w:t>
            </w:r>
            <w:r>
              <w:rPr>
                <w:lang w:bidi="ar"/>
              </w:rPr>
              <w:t>方案</w:t>
            </w:r>
            <w:r>
              <w:rPr>
                <w:rFonts w:hint="eastAsia"/>
                <w:lang w:bidi="ar"/>
              </w:rPr>
              <w:t>详细</w:t>
            </w:r>
            <w:r>
              <w:rPr>
                <w:lang w:bidi="ar"/>
              </w:rPr>
              <w:t>完整，得11-15分。</w:t>
            </w:r>
          </w:p>
          <w:p w14:paraId="06302B9C" w14:textId="77777777" w:rsidR="00FF77C0" w:rsidRDefault="00000000">
            <w:pPr>
              <w:spacing w:before="160" w:line="240" w:lineRule="auto"/>
              <w:rPr>
                <w:rFonts w:hint="eastAsia"/>
                <w:lang w:bidi="ar"/>
              </w:rPr>
            </w:pPr>
            <w:r>
              <w:rPr>
                <w:lang w:bidi="ar"/>
              </w:rPr>
              <w:t>2.提供2年质保，响应机制合理（如48小时内上门），</w:t>
            </w:r>
            <w:r>
              <w:rPr>
                <w:rFonts w:hint="eastAsia"/>
                <w:lang w:bidi="ar"/>
              </w:rPr>
              <w:t>售后服务方案完整，</w:t>
            </w:r>
            <w:r>
              <w:rPr>
                <w:lang w:bidi="ar"/>
              </w:rPr>
              <w:t>得6-10分。</w:t>
            </w:r>
          </w:p>
          <w:p w14:paraId="06302B9D" w14:textId="7940E726" w:rsidR="00FF77C0" w:rsidRDefault="00000000">
            <w:pPr>
              <w:spacing w:before="160" w:line="240" w:lineRule="auto"/>
              <w:rPr>
                <w:rFonts w:hint="eastAsia"/>
                <w:lang w:bidi="ar"/>
              </w:rPr>
            </w:pPr>
            <w:r>
              <w:rPr>
                <w:lang w:bidi="ar"/>
              </w:rPr>
              <w:t>3.提供1年质保，</w:t>
            </w:r>
            <w:r>
              <w:rPr>
                <w:rFonts w:hint="eastAsia"/>
                <w:lang w:bidi="ar"/>
              </w:rPr>
              <w:t>售后</w:t>
            </w:r>
            <w:r>
              <w:rPr>
                <w:lang w:bidi="ar"/>
              </w:rPr>
              <w:t>服务方案</w:t>
            </w:r>
            <w:r>
              <w:rPr>
                <w:rFonts w:hint="eastAsia"/>
                <w:lang w:bidi="ar"/>
              </w:rPr>
              <w:t>有待改善的</w:t>
            </w:r>
            <w:r>
              <w:rPr>
                <w:lang w:bidi="ar"/>
              </w:rPr>
              <w:t>，得1-5分。</w:t>
            </w:r>
          </w:p>
          <w:p w14:paraId="06302B9E" w14:textId="77777777" w:rsidR="00FF77C0" w:rsidRDefault="00000000">
            <w:pPr>
              <w:spacing w:before="160" w:line="240" w:lineRule="auto"/>
              <w:rPr>
                <w:rFonts w:hint="eastAsia"/>
              </w:rPr>
            </w:pPr>
            <w:r>
              <w:rPr>
                <w:lang w:bidi="ar"/>
              </w:rPr>
              <w:t>4. 未提供</w:t>
            </w:r>
            <w:r>
              <w:rPr>
                <w:rFonts w:hint="eastAsia"/>
                <w:lang w:bidi="ar"/>
              </w:rPr>
              <w:t>或较差</w:t>
            </w:r>
            <w:r>
              <w:rPr>
                <w:lang w:bidi="ar"/>
              </w:rPr>
              <w:t>，得0分。</w:t>
            </w:r>
          </w:p>
        </w:tc>
      </w:tr>
      <w:tr w:rsidR="00FF77C0" w14:paraId="06302BA3" w14:textId="77777777">
        <w:tc>
          <w:tcPr>
            <w:tcW w:w="1271" w:type="dxa"/>
            <w:tcMar>
              <w:top w:w="150" w:type="dxa"/>
              <w:left w:w="0" w:type="dxa"/>
              <w:bottom w:w="150" w:type="dxa"/>
              <w:right w:w="240" w:type="dxa"/>
            </w:tcMar>
            <w:vAlign w:val="center"/>
          </w:tcPr>
          <w:p w14:paraId="06302BA0" w14:textId="77777777" w:rsidR="00FF77C0" w:rsidRDefault="00000000">
            <w:pPr>
              <w:rPr>
                <w:rFonts w:hint="eastAsia"/>
              </w:rPr>
            </w:pPr>
            <w:r>
              <w:rPr>
                <w:rFonts w:hint="eastAsia"/>
                <w:b/>
                <w:bCs/>
              </w:rPr>
              <w:t>商务部分</w:t>
            </w:r>
          </w:p>
        </w:tc>
        <w:tc>
          <w:tcPr>
            <w:tcW w:w="1134" w:type="dxa"/>
            <w:tcMar>
              <w:top w:w="150" w:type="dxa"/>
              <w:left w:w="240" w:type="dxa"/>
              <w:bottom w:w="150" w:type="dxa"/>
              <w:right w:w="240" w:type="dxa"/>
            </w:tcMar>
            <w:vAlign w:val="center"/>
          </w:tcPr>
          <w:p w14:paraId="06302BA1" w14:textId="77777777" w:rsidR="00FF77C0" w:rsidRDefault="00000000">
            <w:pPr>
              <w:rPr>
                <w:rFonts w:hint="eastAsia"/>
              </w:rPr>
            </w:pPr>
            <w:r>
              <w:rPr>
                <w:rFonts w:hint="eastAsia"/>
                <w:b/>
                <w:bCs/>
              </w:rPr>
              <w:t>40</w:t>
            </w:r>
            <w:r>
              <w:rPr>
                <w:b/>
                <w:bCs/>
              </w:rPr>
              <w:t>分</w:t>
            </w:r>
          </w:p>
        </w:tc>
        <w:tc>
          <w:tcPr>
            <w:tcW w:w="5891" w:type="dxa"/>
            <w:tcMar>
              <w:top w:w="150" w:type="dxa"/>
              <w:left w:w="240" w:type="dxa"/>
              <w:bottom w:w="150" w:type="dxa"/>
              <w:right w:w="0" w:type="dxa"/>
            </w:tcMar>
            <w:vAlign w:val="center"/>
          </w:tcPr>
          <w:p w14:paraId="06302BA2" w14:textId="77777777" w:rsidR="00FF77C0" w:rsidRDefault="00FF77C0">
            <w:pPr>
              <w:rPr>
                <w:rFonts w:hint="eastAsia"/>
              </w:rPr>
            </w:pPr>
          </w:p>
        </w:tc>
      </w:tr>
      <w:tr w:rsidR="00FF77C0" w14:paraId="06302BAC" w14:textId="77777777" w:rsidTr="00782402">
        <w:trPr>
          <w:trHeight w:val="3871"/>
        </w:trPr>
        <w:tc>
          <w:tcPr>
            <w:tcW w:w="1271" w:type="dxa"/>
            <w:tcMar>
              <w:top w:w="150" w:type="dxa"/>
              <w:left w:w="0" w:type="dxa"/>
              <w:bottom w:w="150" w:type="dxa"/>
              <w:right w:w="240" w:type="dxa"/>
            </w:tcMar>
            <w:vAlign w:val="center"/>
          </w:tcPr>
          <w:p w14:paraId="06302BA4" w14:textId="77777777" w:rsidR="00FF77C0" w:rsidRDefault="00000000">
            <w:pPr>
              <w:rPr>
                <w:rFonts w:hint="eastAsia"/>
              </w:rPr>
            </w:pPr>
            <w:r>
              <w:rPr>
                <w:rFonts w:hint="eastAsia"/>
              </w:rPr>
              <w:t>5</w:t>
            </w:r>
            <w:r>
              <w:t>.投标报价</w:t>
            </w:r>
          </w:p>
        </w:tc>
        <w:tc>
          <w:tcPr>
            <w:tcW w:w="1134" w:type="dxa"/>
            <w:tcMar>
              <w:top w:w="150" w:type="dxa"/>
              <w:left w:w="240" w:type="dxa"/>
              <w:bottom w:w="150" w:type="dxa"/>
              <w:right w:w="240" w:type="dxa"/>
            </w:tcMar>
            <w:vAlign w:val="center"/>
          </w:tcPr>
          <w:p w14:paraId="06302BA5" w14:textId="77777777" w:rsidR="00FF77C0" w:rsidRDefault="00000000">
            <w:pPr>
              <w:rPr>
                <w:rFonts w:hint="eastAsia"/>
              </w:rPr>
            </w:pPr>
            <w:r>
              <w:rPr>
                <w:rFonts w:hint="eastAsia"/>
              </w:rPr>
              <w:t>34</w:t>
            </w:r>
            <w:r>
              <w:t>分</w:t>
            </w:r>
          </w:p>
        </w:tc>
        <w:tc>
          <w:tcPr>
            <w:tcW w:w="5891" w:type="dxa"/>
            <w:tcMar>
              <w:top w:w="150" w:type="dxa"/>
              <w:left w:w="240" w:type="dxa"/>
              <w:bottom w:w="150" w:type="dxa"/>
              <w:right w:w="240" w:type="dxa"/>
            </w:tcMar>
            <w:vAlign w:val="center"/>
          </w:tcPr>
          <w:p w14:paraId="06302BA6" w14:textId="77777777" w:rsidR="00FF77C0" w:rsidRDefault="00000000">
            <w:pPr>
              <w:rPr>
                <w:rFonts w:hint="eastAsia"/>
              </w:rPr>
            </w:pPr>
            <w:r>
              <w:t>根据各投标人通过符合资格审查的有效投标报价中的算术平均价作为评标基准价，其价格分为满分。（计算到小数点后二位）</w:t>
            </w:r>
          </w:p>
          <w:p w14:paraId="06302BA7" w14:textId="77777777" w:rsidR="00FF77C0" w:rsidRDefault="00000000">
            <w:pPr>
              <w:spacing w:line="240" w:lineRule="auto"/>
              <w:rPr>
                <w:rFonts w:hint="eastAsia"/>
              </w:rPr>
            </w:pPr>
            <w:r>
              <w:rPr>
                <w:rFonts w:hint="eastAsia"/>
              </w:rPr>
              <w:t>1.</w:t>
            </w:r>
            <w:r>
              <w:t>偏差率=（投标人报价－评标基准价）/评标基准价*100%</w:t>
            </w:r>
          </w:p>
          <w:p w14:paraId="06302BA8" w14:textId="77777777" w:rsidR="00FF77C0" w:rsidRDefault="00000000">
            <w:pPr>
              <w:spacing w:line="240" w:lineRule="auto"/>
              <w:rPr>
                <w:rFonts w:hint="eastAsia"/>
              </w:rPr>
            </w:pPr>
            <w:r>
              <w:rPr>
                <w:rFonts w:hint="eastAsia"/>
              </w:rPr>
              <w:t>2.</w:t>
            </w:r>
            <w:r>
              <w:t>报价得分</w:t>
            </w:r>
          </w:p>
          <w:p w14:paraId="06302BA9" w14:textId="77777777" w:rsidR="00FF77C0" w:rsidRDefault="00000000">
            <w:pPr>
              <w:spacing w:line="240" w:lineRule="auto"/>
              <w:rPr>
                <w:rFonts w:hint="eastAsia"/>
              </w:rPr>
            </w:pPr>
            <w:r>
              <w:t>报价得分计算公式：</w:t>
            </w:r>
          </w:p>
          <w:p w14:paraId="06302BAA" w14:textId="77777777" w:rsidR="00FF77C0" w:rsidRDefault="00000000">
            <w:pPr>
              <w:spacing w:line="240" w:lineRule="auto"/>
              <w:rPr>
                <w:rFonts w:hint="eastAsia"/>
              </w:rPr>
            </w:pPr>
            <w:r>
              <w:t>如果投标人的评标价＞评标基准价，则评标价得分=</w:t>
            </w:r>
            <w:r>
              <w:rPr>
                <w:rFonts w:hint="eastAsia"/>
              </w:rPr>
              <w:t>34</w:t>
            </w:r>
            <w:r>
              <w:t>-偏差率*100*0.4；</w:t>
            </w:r>
          </w:p>
          <w:p w14:paraId="06302BAB" w14:textId="49F08BC6" w:rsidR="00FF77C0" w:rsidRDefault="00000000">
            <w:pPr>
              <w:rPr>
                <w:rFonts w:hint="eastAsia"/>
              </w:rPr>
            </w:pPr>
            <w:r>
              <w:t>如果投标人的评标价≤评标基准价，则评标价得分=</w:t>
            </w:r>
            <w:r>
              <w:rPr>
                <w:rFonts w:hint="eastAsia"/>
              </w:rPr>
              <w:t>34</w:t>
            </w:r>
            <w:r>
              <w:t>+偏差率*100*0.2</w:t>
            </w:r>
            <w:r>
              <w:rPr>
                <w:rFonts w:hint="eastAsia"/>
              </w:rPr>
              <w:t>。</w:t>
            </w:r>
          </w:p>
        </w:tc>
      </w:tr>
      <w:tr w:rsidR="00FF77C0" w14:paraId="06302BB0" w14:textId="77777777" w:rsidTr="00782402">
        <w:trPr>
          <w:trHeight w:val="766"/>
        </w:trPr>
        <w:tc>
          <w:tcPr>
            <w:tcW w:w="1271" w:type="dxa"/>
            <w:tcMar>
              <w:top w:w="150" w:type="dxa"/>
              <w:left w:w="0" w:type="dxa"/>
              <w:bottom w:w="150" w:type="dxa"/>
              <w:right w:w="240" w:type="dxa"/>
            </w:tcMar>
            <w:vAlign w:val="center"/>
          </w:tcPr>
          <w:p w14:paraId="06302BAD" w14:textId="77777777" w:rsidR="00FF77C0" w:rsidRDefault="00000000">
            <w:pPr>
              <w:rPr>
                <w:rFonts w:hint="eastAsia"/>
              </w:rPr>
            </w:pPr>
            <w:r>
              <w:rPr>
                <w:rFonts w:hint="eastAsia"/>
              </w:rPr>
              <w:t>6</w:t>
            </w:r>
            <w:r>
              <w:t>.供应商业绩</w:t>
            </w:r>
          </w:p>
        </w:tc>
        <w:tc>
          <w:tcPr>
            <w:tcW w:w="1134" w:type="dxa"/>
            <w:tcMar>
              <w:top w:w="150" w:type="dxa"/>
              <w:left w:w="240" w:type="dxa"/>
              <w:bottom w:w="150" w:type="dxa"/>
              <w:right w:w="240" w:type="dxa"/>
            </w:tcMar>
            <w:vAlign w:val="center"/>
          </w:tcPr>
          <w:p w14:paraId="06302BAE" w14:textId="77777777" w:rsidR="00FF77C0" w:rsidRDefault="00000000">
            <w:pPr>
              <w:rPr>
                <w:rFonts w:hint="eastAsia"/>
              </w:rPr>
            </w:pPr>
            <w:r>
              <w:t>6分</w:t>
            </w:r>
          </w:p>
        </w:tc>
        <w:tc>
          <w:tcPr>
            <w:tcW w:w="5891" w:type="dxa"/>
            <w:tcMar>
              <w:top w:w="150" w:type="dxa"/>
              <w:left w:w="240" w:type="dxa"/>
              <w:bottom w:w="150" w:type="dxa"/>
              <w:right w:w="240" w:type="dxa"/>
            </w:tcMar>
            <w:vAlign w:val="center"/>
          </w:tcPr>
          <w:p w14:paraId="06302BAF" w14:textId="77777777" w:rsidR="00FF77C0" w:rsidRDefault="00000000">
            <w:pPr>
              <w:rPr>
                <w:rFonts w:hint="eastAsia"/>
              </w:rPr>
            </w:pPr>
            <w:r>
              <w:t>供应商具备同类业务（</w:t>
            </w:r>
            <w:r>
              <w:rPr>
                <w:rFonts w:hint="eastAsia"/>
              </w:rPr>
              <w:t>电子与智能化工程</w:t>
            </w:r>
            <w:r>
              <w:t>）供货业绩的，提供业绩合同，每有一份业绩合同加3分，加满为止。</w:t>
            </w:r>
          </w:p>
        </w:tc>
      </w:tr>
    </w:tbl>
    <w:p w14:paraId="06302BB1" w14:textId="77777777" w:rsidR="00FF77C0" w:rsidRDefault="00FF77C0">
      <w:pPr>
        <w:tabs>
          <w:tab w:val="left" w:pos="1088"/>
        </w:tabs>
        <w:rPr>
          <w:rFonts w:hint="eastAsia"/>
        </w:rPr>
      </w:pPr>
    </w:p>
    <w:sectPr w:rsidR="00FF77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0DCE" w14:textId="77777777" w:rsidR="00460B37" w:rsidRDefault="00460B37">
      <w:pPr>
        <w:spacing w:line="240" w:lineRule="auto"/>
        <w:rPr>
          <w:rFonts w:hint="eastAsia"/>
        </w:rPr>
      </w:pPr>
      <w:r>
        <w:separator/>
      </w:r>
    </w:p>
  </w:endnote>
  <w:endnote w:type="continuationSeparator" w:id="0">
    <w:p w14:paraId="47075874" w14:textId="77777777" w:rsidR="00460B37" w:rsidRDefault="00460B3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8590" w14:textId="77777777" w:rsidR="00460B37" w:rsidRDefault="00460B37">
      <w:pPr>
        <w:spacing w:after="0"/>
        <w:rPr>
          <w:rFonts w:hint="eastAsia"/>
        </w:rPr>
      </w:pPr>
      <w:r>
        <w:separator/>
      </w:r>
    </w:p>
  </w:footnote>
  <w:footnote w:type="continuationSeparator" w:id="0">
    <w:p w14:paraId="5835BCE4" w14:textId="77777777" w:rsidR="00460B37" w:rsidRDefault="00460B37">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DE"/>
    <w:rsid w:val="0004211D"/>
    <w:rsid w:val="00117AC0"/>
    <w:rsid w:val="00124A8F"/>
    <w:rsid w:val="00126298"/>
    <w:rsid w:val="0014078E"/>
    <w:rsid w:val="001D7189"/>
    <w:rsid w:val="001E58F1"/>
    <w:rsid w:val="00263FDD"/>
    <w:rsid w:val="002C5661"/>
    <w:rsid w:val="002F5AEC"/>
    <w:rsid w:val="00390A9A"/>
    <w:rsid w:val="003B173F"/>
    <w:rsid w:val="003D332E"/>
    <w:rsid w:val="00431BFC"/>
    <w:rsid w:val="00460B37"/>
    <w:rsid w:val="004B6DC4"/>
    <w:rsid w:val="005C2505"/>
    <w:rsid w:val="00623E02"/>
    <w:rsid w:val="00657309"/>
    <w:rsid w:val="006C2074"/>
    <w:rsid w:val="006C5FD6"/>
    <w:rsid w:val="00730AB4"/>
    <w:rsid w:val="00745288"/>
    <w:rsid w:val="00782402"/>
    <w:rsid w:val="007D7C7D"/>
    <w:rsid w:val="008671C8"/>
    <w:rsid w:val="00886F14"/>
    <w:rsid w:val="00895BFA"/>
    <w:rsid w:val="0090776E"/>
    <w:rsid w:val="00915ADD"/>
    <w:rsid w:val="00A12546"/>
    <w:rsid w:val="00A30A89"/>
    <w:rsid w:val="00A77AD8"/>
    <w:rsid w:val="00AA09A7"/>
    <w:rsid w:val="00AC65DE"/>
    <w:rsid w:val="00C169EC"/>
    <w:rsid w:val="00DE11E7"/>
    <w:rsid w:val="00DF58EF"/>
    <w:rsid w:val="00E62433"/>
    <w:rsid w:val="00E74E4D"/>
    <w:rsid w:val="00E75104"/>
    <w:rsid w:val="00EB482C"/>
    <w:rsid w:val="00EE0D91"/>
    <w:rsid w:val="00FB0090"/>
    <w:rsid w:val="00FB6770"/>
    <w:rsid w:val="00FF06B4"/>
    <w:rsid w:val="00FF77C0"/>
    <w:rsid w:val="011F531A"/>
    <w:rsid w:val="06367DD0"/>
    <w:rsid w:val="09102B5A"/>
    <w:rsid w:val="0A4F2F91"/>
    <w:rsid w:val="0E9B2AA4"/>
    <w:rsid w:val="0ED72FCB"/>
    <w:rsid w:val="10B35ED6"/>
    <w:rsid w:val="131941EA"/>
    <w:rsid w:val="14C03486"/>
    <w:rsid w:val="22510FE7"/>
    <w:rsid w:val="227850CC"/>
    <w:rsid w:val="25381017"/>
    <w:rsid w:val="253A32B3"/>
    <w:rsid w:val="2ACE6A57"/>
    <w:rsid w:val="2F0F5213"/>
    <w:rsid w:val="2F6076BA"/>
    <w:rsid w:val="2F620CDF"/>
    <w:rsid w:val="32B902C1"/>
    <w:rsid w:val="386B5A40"/>
    <w:rsid w:val="3A96260F"/>
    <w:rsid w:val="49843F7B"/>
    <w:rsid w:val="5AC44E4C"/>
    <w:rsid w:val="5AF24E6B"/>
    <w:rsid w:val="5B584946"/>
    <w:rsid w:val="5ED6348C"/>
    <w:rsid w:val="62C751AC"/>
    <w:rsid w:val="64E9557C"/>
    <w:rsid w:val="6565557D"/>
    <w:rsid w:val="6DB87489"/>
    <w:rsid w:val="741F66E8"/>
    <w:rsid w:val="751E0306"/>
    <w:rsid w:val="7C8820DB"/>
    <w:rsid w:val="7DB701CD"/>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02B76"/>
  <w15:docId w15:val="{FE9BA7F1-64CD-4697-A9D6-B11E0759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Indent"/>
    <w:basedOn w:val="a"/>
    <w:next w:val="a5"/>
    <w:qFormat/>
    <w:pPr>
      <w:spacing w:after="120"/>
      <w:ind w:leftChars="200" w:left="200"/>
    </w:pPr>
  </w:style>
  <w:style w:type="paragraph" w:styleId="a5">
    <w:name w:val="envelope return"/>
    <w:basedOn w:val="a"/>
    <w:qFormat/>
    <w:pPr>
      <w:snapToGrid w:val="0"/>
    </w:pPr>
    <w:rPr>
      <w:rFonts w:ascii="Arial" w:hAnsi="Arial"/>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21">
    <w:name w:val="Body Text First Indent 2"/>
    <w:basedOn w:val="a4"/>
    <w:next w:val="a"/>
    <w:qFormat/>
    <w:pPr>
      <w:ind w:left="420" w:firstLineChars="200" w:firstLine="42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0"/>
    <w:link w:val="af2"/>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kern w:val="2"/>
      <w:sz w:val="22"/>
      <w:szCs w:val="24"/>
      <w14:ligatures w14:val="standardContextual"/>
    </w:rPr>
  </w:style>
  <w:style w:type="paragraph" w:styleId="af4">
    <w:name w:val="Revision"/>
    <w:hidden/>
    <w:uiPriority w:val="99"/>
    <w:unhideWhenUsed/>
    <w:rsid w:val="00782402"/>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566</Words>
  <Characters>617</Characters>
  <Application>Microsoft Office Word</Application>
  <DocSecurity>0</DocSecurity>
  <Lines>47</Lines>
  <Paragraphs>49</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 Jane</dc:creator>
  <cp:lastModifiedBy>J Liu</cp:lastModifiedBy>
  <cp:revision>18</cp:revision>
  <cp:lastPrinted>2026-05-19T08:42:00Z</cp:lastPrinted>
  <dcterms:created xsi:type="dcterms:W3CDTF">2025-10-14T02:13:00Z</dcterms:created>
  <dcterms:modified xsi:type="dcterms:W3CDTF">2026-05-22T02:46:00Z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eyJoZGlkIjoiMTUzOTQ5MDA1ZjgwNDNhYmE5ODUzYzEwYTMyOGI3NzkiLCJ1c2VySWQiOiIxNzY1MzkzMjg5In0=</vt:lpwstr>
  </property>
  <property fmtid="{D5CDD505-2E9C-101B-9397-08002B2CF9AE}" pid="3" name="KSOProductBuildVer">
    <vt:lpwstr>2052-12.1.0.25865</vt:lpwstr>
  </property>
  <property fmtid="{D5CDD505-2E9C-101B-9397-08002B2CF9AE}" pid="4" name="ICV">
    <vt:lpwstr>D25B3165E7F043F6B09DF58322F89B60_13</vt:lpwstr>
  </property>
</Properties>
</file>