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0EF37">
      <w:pPr>
        <w:rPr>
          <w:rFonts w:cs="宋体"/>
          <w:lang w:eastAsia="zh-CN"/>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560"/>
        <w:gridCol w:w="1640"/>
        <w:gridCol w:w="3956"/>
      </w:tblGrid>
      <w:tr w14:paraId="0864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14:paraId="71BDA93B">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36"/>
                <w:szCs w:val="36"/>
                <w:highlight w:val="none"/>
                <w:lang w:val="en-US" w:eastAsia="zh-CN"/>
              </w:rPr>
              <w:t>采购芜湖</w:t>
            </w:r>
            <w:r>
              <w:rPr>
                <w:rFonts w:hint="eastAsia" w:ascii="宋体" w:hAnsi="宋体" w:eastAsia="宋体" w:cs="宋体"/>
                <w:color w:val="auto"/>
                <w:sz w:val="36"/>
                <w:szCs w:val="36"/>
                <w:highlight w:val="none"/>
                <w:lang w:eastAsia="zh-CN"/>
              </w:rPr>
              <w:t>神山智谷园区餐厅及厨房装饰</w:t>
            </w:r>
            <w:r>
              <w:rPr>
                <w:rFonts w:hint="eastAsia" w:ascii="宋体" w:hAnsi="宋体" w:eastAsia="宋体" w:cs="宋体"/>
                <w:color w:val="auto"/>
                <w:sz w:val="36"/>
                <w:szCs w:val="36"/>
                <w:highlight w:val="none"/>
                <w:lang w:val="en-US" w:eastAsia="zh-CN"/>
              </w:rPr>
              <w:t>安装</w:t>
            </w:r>
            <w:r>
              <w:rPr>
                <w:rFonts w:hint="eastAsia" w:ascii="宋体" w:hAnsi="宋体" w:eastAsia="宋体" w:cs="宋体"/>
                <w:color w:val="auto"/>
                <w:sz w:val="36"/>
                <w:szCs w:val="36"/>
                <w:highlight w:val="none"/>
                <w:lang w:eastAsia="zh-CN"/>
              </w:rPr>
              <w:t>工程监理服务评分标准及评分办法</w:t>
            </w:r>
          </w:p>
          <w:p w14:paraId="558A77B0">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（本次评标采用综合评分法）</w:t>
            </w:r>
          </w:p>
          <w:p w14:paraId="03154E25">
            <w:pPr>
              <w:jc w:val="both"/>
              <w:rPr>
                <w:rFonts w:hint="eastAsia" w:ascii="宋体" w:hAnsi="宋体" w:eastAsia="宋体" w:cs="宋体"/>
                <w:sz w:val="18"/>
                <w:szCs w:val="18"/>
                <w:lang w:eastAsia="zh-CN"/>
              </w:rPr>
            </w:pPr>
          </w:p>
        </w:tc>
      </w:tr>
      <w:tr w14:paraId="59F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noWrap w:val="0"/>
            <w:vAlign w:val="center"/>
          </w:tcPr>
          <w:p w14:paraId="6DF1239A">
            <w:pPr>
              <w:jc w:val="center"/>
              <w:rPr>
                <w:rFonts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lang w:eastAsia="zh-CN"/>
              </w:rPr>
              <w:t>.1</w:t>
            </w:r>
          </w:p>
        </w:tc>
        <w:tc>
          <w:tcPr>
            <w:tcW w:w="915" w:type="pct"/>
            <w:noWrap w:val="0"/>
            <w:vAlign w:val="center"/>
          </w:tcPr>
          <w:p w14:paraId="4739908E">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分值构成</w:t>
            </w:r>
          </w:p>
          <w:p w14:paraId="613EF1A0">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（总分100分）</w:t>
            </w:r>
          </w:p>
        </w:tc>
        <w:tc>
          <w:tcPr>
            <w:tcW w:w="3282" w:type="pct"/>
            <w:gridSpan w:val="2"/>
            <w:noWrap w:val="0"/>
            <w:vAlign w:val="center"/>
          </w:tcPr>
          <w:p w14:paraId="1CDE1C83">
            <w:pPr>
              <w:numPr>
                <w:ilvl w:val="0"/>
                <w:numId w:val="1"/>
              </w:num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商务部分：</w:t>
            </w:r>
            <w:r>
              <w:rPr>
                <w:rFonts w:hint="eastAsia" w:ascii="宋体" w:hAnsi="宋体" w:eastAsia="宋体" w:cs="宋体"/>
                <w:sz w:val="18"/>
                <w:szCs w:val="18"/>
                <w:highlight w:val="none"/>
                <w:u w:val="single"/>
                <w:lang w:eastAsia="zh-CN"/>
              </w:rPr>
              <w:t xml:space="preserve">     1</w:t>
            </w:r>
            <w:r>
              <w:rPr>
                <w:rFonts w:hint="eastAsia" w:ascii="宋体" w:hAnsi="宋体" w:eastAsia="宋体" w:cs="宋体"/>
                <w:sz w:val="18"/>
                <w:szCs w:val="18"/>
                <w:highlight w:val="none"/>
                <w:u w:val="single"/>
                <w:lang w:val="en-US" w:eastAsia="zh-CN"/>
              </w:rPr>
              <w:t>8</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lang w:eastAsia="zh-CN"/>
              </w:rPr>
              <w:t>分</w:t>
            </w:r>
          </w:p>
          <w:p w14:paraId="6E8F57AF">
            <w:pPr>
              <w:numPr>
                <w:ilvl w:val="0"/>
                <w:numId w:val="1"/>
              </w:num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 xml:space="preserve">技术部分： </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u w:val="single"/>
                <w:lang w:val="en-US" w:eastAsia="zh-CN"/>
              </w:rPr>
              <w:t>42</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lang w:eastAsia="zh-CN"/>
              </w:rPr>
              <w:t>分</w:t>
            </w:r>
          </w:p>
          <w:p w14:paraId="18CA24FF">
            <w:pPr>
              <w:numPr>
                <w:ilvl w:val="0"/>
                <w:numId w:val="1"/>
              </w:num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报价：</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u w:val="single"/>
                <w:lang w:val="en-US" w:eastAsia="zh-CN"/>
              </w:rPr>
              <w:t xml:space="preserve">   40  </w:t>
            </w:r>
            <w:r>
              <w:rPr>
                <w:rFonts w:hint="eastAsia" w:ascii="宋体" w:hAnsi="宋体" w:eastAsia="宋体" w:cs="宋体"/>
                <w:sz w:val="18"/>
                <w:szCs w:val="18"/>
                <w:highlight w:val="none"/>
                <w:u w:val="single"/>
                <w:lang w:eastAsia="zh-CN"/>
              </w:rPr>
              <w:t xml:space="preserve">  </w:t>
            </w:r>
            <w:r>
              <w:rPr>
                <w:rFonts w:hint="eastAsia" w:ascii="宋体" w:hAnsi="宋体" w:eastAsia="宋体" w:cs="宋体"/>
                <w:sz w:val="18"/>
                <w:szCs w:val="18"/>
                <w:highlight w:val="none"/>
                <w:lang w:eastAsia="zh-CN"/>
              </w:rPr>
              <w:t>分</w:t>
            </w:r>
          </w:p>
        </w:tc>
      </w:tr>
      <w:tr w14:paraId="7E3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noWrap w:val="0"/>
            <w:vAlign w:val="center"/>
          </w:tcPr>
          <w:p w14:paraId="38405E3B">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条款号</w:t>
            </w:r>
          </w:p>
        </w:tc>
        <w:tc>
          <w:tcPr>
            <w:tcW w:w="915" w:type="pct"/>
            <w:noWrap w:val="0"/>
            <w:vAlign w:val="center"/>
          </w:tcPr>
          <w:p w14:paraId="2A1BC8A8">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评分因素</w:t>
            </w:r>
          </w:p>
        </w:tc>
        <w:tc>
          <w:tcPr>
            <w:tcW w:w="3282" w:type="pct"/>
            <w:gridSpan w:val="2"/>
            <w:noWrap w:val="0"/>
            <w:vAlign w:val="center"/>
          </w:tcPr>
          <w:p w14:paraId="38A1BF4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r>
      <w:tr w14:paraId="0111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02" w:type="pct"/>
            <w:vMerge w:val="restart"/>
            <w:noWrap w:val="0"/>
            <w:vAlign w:val="center"/>
          </w:tcPr>
          <w:p w14:paraId="1385E7B0">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w:t>
            </w:r>
          </w:p>
        </w:tc>
        <w:tc>
          <w:tcPr>
            <w:tcW w:w="915" w:type="pct"/>
            <w:vMerge w:val="restart"/>
            <w:noWrap w:val="0"/>
            <w:vAlign w:val="center"/>
          </w:tcPr>
          <w:p w14:paraId="76B7413C">
            <w:pPr>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商务评分标准（</w:t>
            </w:r>
            <w:r>
              <w:rPr>
                <w:rFonts w:hint="eastAsia" w:ascii="宋体" w:hAnsi="宋体" w:eastAsia="宋体" w:cs="宋体"/>
                <w:sz w:val="18"/>
                <w:szCs w:val="18"/>
                <w:lang w:val="en-US" w:eastAsia="zh-CN"/>
              </w:rPr>
              <w:t>业绩）</w:t>
            </w:r>
          </w:p>
        </w:tc>
        <w:tc>
          <w:tcPr>
            <w:tcW w:w="962" w:type="pct"/>
            <w:noWrap w:val="0"/>
            <w:vAlign w:val="center"/>
          </w:tcPr>
          <w:p w14:paraId="0A20EF1F">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供应商业绩</w:t>
            </w:r>
          </w:p>
          <w:p w14:paraId="5BE6712E">
            <w:pPr>
              <w:jc w:val="center"/>
              <w:rPr>
                <w:rFonts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center"/>
          </w:tcPr>
          <w:p w14:paraId="30A4B09A">
            <w:pPr>
              <w:rPr>
                <w:rFonts w:hint="eastAsia" w:ascii="宋体" w:hAnsi="宋体" w:eastAsia="宋体" w:cs="宋体"/>
                <w:color w:val="auto"/>
                <w:sz w:val="18"/>
                <w:szCs w:val="18"/>
                <w:highlight w:val="none"/>
                <w:lang w:eastAsia="zh-CN"/>
              </w:rPr>
            </w:pPr>
            <w:r>
              <w:rPr>
                <w:rFonts w:hint="eastAsia" w:ascii="宋体" w:hAnsi="宋体" w:eastAsia="宋体" w:cs="宋体"/>
                <w:color w:val="FF0000"/>
                <w:sz w:val="18"/>
                <w:szCs w:val="18"/>
                <w:highlight w:val="none"/>
                <w:lang w:eastAsia="zh-CN"/>
              </w:rPr>
              <w:t>供应商具备单项工程造价不低于</w:t>
            </w:r>
            <w:r>
              <w:rPr>
                <w:rFonts w:hint="eastAsia" w:ascii="宋体" w:hAnsi="宋体" w:eastAsia="宋体" w:cs="宋体"/>
                <w:color w:val="FF0000"/>
                <w:sz w:val="18"/>
                <w:szCs w:val="18"/>
                <w:highlight w:val="none"/>
                <w:lang w:val="en-US" w:eastAsia="zh-CN"/>
              </w:rPr>
              <w:t>160</w:t>
            </w:r>
            <w:r>
              <w:rPr>
                <w:rFonts w:hint="eastAsia" w:ascii="宋体" w:hAnsi="宋体" w:eastAsia="宋体" w:cs="宋体"/>
                <w:color w:val="FF0000"/>
                <w:sz w:val="18"/>
                <w:szCs w:val="18"/>
                <w:highlight w:val="none"/>
                <w:lang w:eastAsia="zh-CN"/>
              </w:rPr>
              <w:t>万元的装饰装修工程</w:t>
            </w:r>
            <w:r>
              <w:rPr>
                <w:rFonts w:hint="eastAsia" w:ascii="宋体" w:hAnsi="宋体" w:eastAsia="宋体" w:cs="宋体"/>
                <w:color w:val="FF0000"/>
                <w:sz w:val="18"/>
                <w:szCs w:val="18"/>
                <w:highlight w:val="none"/>
                <w:lang w:val="en-US" w:eastAsia="zh-CN"/>
              </w:rPr>
              <w:t>的监理业绩</w:t>
            </w:r>
            <w:r>
              <w:rPr>
                <w:rFonts w:hint="eastAsia" w:ascii="宋体" w:hAnsi="宋体" w:eastAsia="宋体" w:cs="宋体"/>
                <w:color w:val="FF0000"/>
                <w:sz w:val="18"/>
                <w:szCs w:val="18"/>
                <w:highlight w:val="none"/>
                <w:lang w:eastAsia="zh-CN"/>
              </w:rPr>
              <w:t>，</w:t>
            </w:r>
            <w:r>
              <w:rPr>
                <w:rFonts w:hint="eastAsia" w:ascii="宋体" w:hAnsi="宋体" w:eastAsia="宋体" w:cs="宋体"/>
                <w:color w:val="auto"/>
                <w:sz w:val="18"/>
                <w:szCs w:val="18"/>
                <w:highlight w:val="none"/>
                <w:lang w:eastAsia="zh-CN"/>
              </w:rPr>
              <w:t>提供业绩合同，每有一份业绩合同加</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分，加满为止。（响应文件中须提供业绩合同，扫描件应能辨识买卖双方公章或合同专用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14:paraId="0349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02" w:type="pct"/>
            <w:vMerge w:val="continue"/>
            <w:noWrap w:val="0"/>
            <w:vAlign w:val="center"/>
          </w:tcPr>
          <w:p w14:paraId="6D83463C">
            <w:pPr>
              <w:jc w:val="center"/>
              <w:rPr>
                <w:rFonts w:hint="eastAsia" w:ascii="宋体" w:hAnsi="宋体" w:eastAsia="宋体" w:cs="宋体"/>
                <w:sz w:val="18"/>
                <w:szCs w:val="18"/>
                <w:lang w:eastAsia="zh-CN"/>
              </w:rPr>
            </w:pPr>
          </w:p>
        </w:tc>
        <w:tc>
          <w:tcPr>
            <w:tcW w:w="915" w:type="pct"/>
            <w:vMerge w:val="continue"/>
            <w:noWrap w:val="0"/>
            <w:vAlign w:val="center"/>
          </w:tcPr>
          <w:p w14:paraId="1A230892">
            <w:pPr>
              <w:jc w:val="center"/>
              <w:rPr>
                <w:rFonts w:hint="eastAsia" w:ascii="宋体" w:hAnsi="宋体" w:eastAsia="宋体" w:cs="宋体"/>
                <w:sz w:val="18"/>
                <w:szCs w:val="18"/>
                <w:lang w:eastAsia="zh-CN"/>
              </w:rPr>
            </w:pPr>
          </w:p>
        </w:tc>
        <w:tc>
          <w:tcPr>
            <w:tcW w:w="962" w:type="pct"/>
            <w:noWrap w:val="0"/>
            <w:vAlign w:val="center"/>
          </w:tcPr>
          <w:p w14:paraId="6E3982A4">
            <w:pPr>
              <w:jc w:val="center"/>
              <w:rPr>
                <w:rFonts w:ascii="宋体" w:hAnsi="宋体" w:eastAsia="宋体" w:cs="宋体"/>
                <w:sz w:val="18"/>
                <w:szCs w:val="18"/>
                <w:lang w:eastAsia="zh-CN"/>
              </w:rPr>
            </w:pPr>
            <w:r>
              <w:rPr>
                <w:rFonts w:hint="eastAsia" w:ascii="宋体" w:hAnsi="宋体" w:eastAsia="宋体" w:cs="宋体"/>
                <w:sz w:val="18"/>
                <w:szCs w:val="18"/>
                <w:lang w:val="en-US" w:eastAsia="zh-CN"/>
              </w:rPr>
              <w:t>总监</w:t>
            </w:r>
            <w:r>
              <w:rPr>
                <w:rFonts w:hint="eastAsia" w:ascii="宋体" w:hAnsi="宋体" w:eastAsia="宋体" w:cs="宋体"/>
                <w:sz w:val="18"/>
                <w:szCs w:val="18"/>
                <w:lang w:eastAsia="zh-CN"/>
              </w:rPr>
              <w:t>业绩</w:t>
            </w:r>
          </w:p>
          <w:p w14:paraId="543F33C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center"/>
          </w:tcPr>
          <w:p w14:paraId="284AC6FD">
            <w:pPr>
              <w:rPr>
                <w:rFonts w:hint="eastAsia" w:ascii="宋体" w:hAnsi="宋体" w:eastAsia="宋体" w:cs="宋体"/>
                <w:sz w:val="18"/>
                <w:szCs w:val="18"/>
                <w:highlight w:val="none"/>
                <w:lang w:eastAsia="zh-CN"/>
              </w:rPr>
            </w:pPr>
            <w:r>
              <w:rPr>
                <w:rFonts w:hint="eastAsia" w:ascii="宋体" w:hAnsi="宋体" w:eastAsia="宋体" w:cs="宋体"/>
                <w:color w:val="FF0000"/>
                <w:sz w:val="18"/>
                <w:szCs w:val="18"/>
                <w:highlight w:val="none"/>
                <w:lang w:eastAsia="zh-CN"/>
              </w:rPr>
              <w:t>配备的总监理工程师（项目负责人），具备单项工程造价不低于</w:t>
            </w:r>
            <w:r>
              <w:rPr>
                <w:rFonts w:hint="eastAsia" w:ascii="宋体" w:hAnsi="宋体" w:eastAsia="宋体" w:cs="宋体"/>
                <w:color w:val="FF0000"/>
                <w:sz w:val="18"/>
                <w:szCs w:val="18"/>
                <w:highlight w:val="none"/>
                <w:lang w:val="en-US" w:eastAsia="zh-CN"/>
              </w:rPr>
              <w:t>160</w:t>
            </w:r>
            <w:bookmarkStart w:id="1" w:name="_GoBack"/>
            <w:bookmarkEnd w:id="1"/>
            <w:r>
              <w:rPr>
                <w:rFonts w:hint="eastAsia" w:ascii="宋体" w:hAnsi="宋体" w:eastAsia="宋体" w:cs="宋体"/>
                <w:color w:val="FF0000"/>
                <w:sz w:val="18"/>
                <w:szCs w:val="18"/>
                <w:highlight w:val="none"/>
                <w:lang w:eastAsia="zh-CN"/>
              </w:rPr>
              <w:t>万元的装饰装修工程</w:t>
            </w:r>
            <w:r>
              <w:rPr>
                <w:rFonts w:hint="eastAsia" w:ascii="宋体" w:hAnsi="宋体" w:eastAsia="宋体" w:cs="宋体"/>
                <w:color w:val="FF0000"/>
                <w:sz w:val="18"/>
                <w:szCs w:val="18"/>
                <w:highlight w:val="none"/>
                <w:lang w:val="en-US" w:eastAsia="zh-CN"/>
              </w:rPr>
              <w:t>的</w:t>
            </w:r>
            <w:r>
              <w:rPr>
                <w:rFonts w:hint="eastAsia" w:ascii="宋体" w:hAnsi="宋体" w:eastAsia="宋体" w:cs="宋体"/>
                <w:color w:val="FF0000"/>
                <w:sz w:val="18"/>
                <w:szCs w:val="18"/>
                <w:highlight w:val="none"/>
                <w:lang w:eastAsia="zh-CN"/>
              </w:rPr>
              <w:t>监理业绩</w:t>
            </w:r>
            <w:r>
              <w:rPr>
                <w:rFonts w:hint="eastAsia" w:ascii="宋体" w:hAnsi="宋体" w:eastAsia="宋体" w:cs="宋体"/>
                <w:sz w:val="18"/>
                <w:szCs w:val="18"/>
                <w:highlight w:val="none"/>
                <w:lang w:eastAsia="zh-CN"/>
              </w:rPr>
              <w:t>。提供业绩合同，每有一份业绩合同加</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lang w:eastAsia="zh-CN"/>
              </w:rPr>
              <w:t>分，加满为止。</w:t>
            </w:r>
            <w:r>
              <w:rPr>
                <w:rFonts w:hint="eastAsia" w:ascii="宋体" w:hAnsi="宋体" w:eastAsia="宋体" w:cs="宋体"/>
                <w:sz w:val="18"/>
                <w:szCs w:val="18"/>
                <w:highlight w:val="none"/>
                <w:lang w:val="en-US" w:eastAsia="zh-CN"/>
              </w:rPr>
              <w:t>总监（项目负责人）</w:t>
            </w:r>
            <w:r>
              <w:rPr>
                <w:rFonts w:hint="eastAsia" w:ascii="宋体" w:hAnsi="宋体" w:eastAsia="宋体" w:cs="宋体"/>
                <w:sz w:val="18"/>
                <w:szCs w:val="18"/>
                <w:highlight w:val="none"/>
                <w:lang w:eastAsia="zh-CN"/>
              </w:rPr>
              <w:t>和供应商业绩重合的，可以重复计分。</w:t>
            </w:r>
          </w:p>
          <w:p w14:paraId="1995B297">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（响应文件中须提供业绩合同，扫描件应能辨识买卖双方公章、标的信息、</w:t>
            </w:r>
            <w:r>
              <w:rPr>
                <w:rFonts w:hint="eastAsia" w:ascii="宋体" w:hAnsi="宋体" w:eastAsia="宋体" w:cs="宋体"/>
                <w:sz w:val="18"/>
                <w:szCs w:val="18"/>
                <w:highlight w:val="none"/>
                <w:lang w:val="en-US" w:eastAsia="zh-CN"/>
              </w:rPr>
              <w:t>总监（项目负责人）</w:t>
            </w:r>
            <w:r>
              <w:rPr>
                <w:rFonts w:hint="eastAsia" w:ascii="宋体" w:hAnsi="宋体" w:eastAsia="宋体" w:cs="宋体"/>
                <w:sz w:val="18"/>
                <w:szCs w:val="18"/>
                <w:highlight w:val="none"/>
                <w:lang w:eastAsia="zh-CN"/>
              </w:rPr>
              <w:t>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14:paraId="5073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02" w:type="pct"/>
            <w:vMerge w:val="restart"/>
            <w:noWrap w:val="0"/>
            <w:vAlign w:val="center"/>
          </w:tcPr>
          <w:p w14:paraId="67842508">
            <w:pPr>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.3</w:t>
            </w:r>
          </w:p>
        </w:tc>
        <w:tc>
          <w:tcPr>
            <w:tcW w:w="915" w:type="pct"/>
            <w:vMerge w:val="restart"/>
            <w:noWrap w:val="0"/>
            <w:vAlign w:val="center"/>
          </w:tcPr>
          <w:p w14:paraId="5F9D29BA">
            <w:pPr>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技术评分标准（</w:t>
            </w:r>
            <w:r>
              <w:rPr>
                <w:rFonts w:hint="eastAsia" w:ascii="宋体" w:hAnsi="宋体" w:eastAsia="宋体" w:cs="宋体"/>
                <w:sz w:val="18"/>
                <w:szCs w:val="18"/>
                <w:lang w:val="en-US" w:eastAsia="zh-CN"/>
              </w:rPr>
              <w:t>监理方案）</w:t>
            </w:r>
          </w:p>
        </w:tc>
        <w:tc>
          <w:tcPr>
            <w:tcW w:w="962" w:type="pct"/>
            <w:noWrap w:val="0"/>
            <w:vAlign w:val="center"/>
          </w:tcPr>
          <w:p w14:paraId="32084EEA">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质量、进度、造价控制的任务与方法</w:t>
            </w:r>
          </w:p>
          <w:p w14:paraId="06BB8E58">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top"/>
          </w:tcPr>
          <w:p w14:paraId="0DA3BEEA">
            <w:pPr>
              <w:rPr>
                <w:rFonts w:hint="eastAsia" w:ascii="宋体" w:hAnsi="宋体" w:eastAsia="宋体" w:cs="宋体"/>
                <w:sz w:val="18"/>
                <w:szCs w:val="18"/>
                <w:lang w:eastAsia="zh-CN"/>
              </w:rPr>
            </w:pPr>
            <w:r>
              <w:rPr>
                <w:rFonts w:hint="eastAsia" w:ascii="宋体" w:hAnsi="宋体" w:eastAsia="宋体" w:cs="宋体"/>
                <w:sz w:val="18"/>
                <w:szCs w:val="18"/>
                <w:lang w:eastAsia="zh-CN"/>
              </w:rPr>
              <w:t>针对项目实际情况，质量、进度、造价控制的方法有相应的保证措施，措施完整、可行、科学。（1≤合格＜4分；4≤良好＜7分；7≤优秀≤9分）未提供或无任何针对性、可行性，该小项不得分。</w:t>
            </w:r>
          </w:p>
        </w:tc>
      </w:tr>
      <w:tr w14:paraId="0CF2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continue"/>
            <w:noWrap w:val="0"/>
            <w:vAlign w:val="center"/>
          </w:tcPr>
          <w:p w14:paraId="5C052763">
            <w:pPr>
              <w:jc w:val="center"/>
              <w:rPr>
                <w:rFonts w:hint="eastAsia" w:ascii="宋体" w:hAnsi="宋体" w:eastAsia="宋体" w:cs="宋体"/>
                <w:sz w:val="18"/>
                <w:szCs w:val="18"/>
                <w:lang w:eastAsia="zh-CN"/>
              </w:rPr>
            </w:pPr>
          </w:p>
        </w:tc>
        <w:tc>
          <w:tcPr>
            <w:tcW w:w="915" w:type="pct"/>
            <w:vMerge w:val="continue"/>
            <w:noWrap w:val="0"/>
            <w:vAlign w:val="center"/>
          </w:tcPr>
          <w:p w14:paraId="592871E5">
            <w:pPr>
              <w:jc w:val="center"/>
              <w:rPr>
                <w:rFonts w:hint="eastAsia" w:ascii="宋体" w:hAnsi="宋体" w:eastAsia="宋体" w:cs="宋体"/>
                <w:sz w:val="18"/>
                <w:szCs w:val="18"/>
                <w:lang w:eastAsia="zh-CN"/>
              </w:rPr>
            </w:pPr>
          </w:p>
        </w:tc>
        <w:tc>
          <w:tcPr>
            <w:tcW w:w="962" w:type="pct"/>
            <w:noWrap w:val="0"/>
            <w:vAlign w:val="center"/>
          </w:tcPr>
          <w:p w14:paraId="1AF3E4C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合同和信息管理、文明施工管理的任务与方法</w:t>
            </w:r>
          </w:p>
          <w:p w14:paraId="3DB159ED">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top"/>
          </w:tcPr>
          <w:p w14:paraId="6B982C1E">
            <w:pPr>
              <w:rPr>
                <w:rFonts w:hint="eastAsia" w:ascii="宋体" w:hAnsi="宋体" w:eastAsia="宋体" w:cs="宋体"/>
                <w:sz w:val="18"/>
                <w:szCs w:val="18"/>
                <w:lang w:eastAsia="zh-CN"/>
              </w:rPr>
            </w:pPr>
            <w:r>
              <w:rPr>
                <w:rFonts w:hint="eastAsia" w:ascii="宋体" w:hAnsi="宋体" w:eastAsia="宋体" w:cs="宋体"/>
                <w:sz w:val="18"/>
                <w:szCs w:val="18"/>
                <w:lang w:eastAsia="zh-CN"/>
              </w:rPr>
              <w:t>对合同和信息管理、文明施工管理的方法科学、可行，措施针对性。（</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≤合格＜</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≤良好＜</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≤优秀≤</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分）未提供或无任何针对性、可行性，本小项不得分。</w:t>
            </w:r>
          </w:p>
        </w:tc>
      </w:tr>
      <w:tr w14:paraId="37CD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continue"/>
            <w:noWrap w:val="0"/>
            <w:vAlign w:val="center"/>
          </w:tcPr>
          <w:p w14:paraId="09E79853">
            <w:pPr>
              <w:jc w:val="center"/>
              <w:rPr>
                <w:rFonts w:hint="eastAsia" w:ascii="宋体" w:hAnsi="宋体" w:eastAsia="宋体" w:cs="宋体"/>
                <w:sz w:val="18"/>
                <w:szCs w:val="18"/>
                <w:lang w:eastAsia="zh-CN"/>
              </w:rPr>
            </w:pPr>
          </w:p>
        </w:tc>
        <w:tc>
          <w:tcPr>
            <w:tcW w:w="915" w:type="pct"/>
            <w:vMerge w:val="continue"/>
            <w:noWrap w:val="0"/>
            <w:vAlign w:val="center"/>
          </w:tcPr>
          <w:p w14:paraId="267C6765">
            <w:pPr>
              <w:jc w:val="center"/>
              <w:rPr>
                <w:rFonts w:hint="eastAsia" w:ascii="宋体" w:hAnsi="宋体" w:eastAsia="宋体" w:cs="宋体"/>
                <w:sz w:val="18"/>
                <w:szCs w:val="18"/>
                <w:lang w:eastAsia="zh-CN"/>
              </w:rPr>
            </w:pPr>
          </w:p>
        </w:tc>
        <w:tc>
          <w:tcPr>
            <w:tcW w:w="962" w:type="pct"/>
            <w:noWrap w:val="0"/>
            <w:vAlign w:val="center"/>
          </w:tcPr>
          <w:p w14:paraId="2194F8FF">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安全生产管理的任务与方法</w:t>
            </w:r>
          </w:p>
          <w:p w14:paraId="59A64B7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top"/>
          </w:tcPr>
          <w:p w14:paraId="1EA26AC1">
            <w:pPr>
              <w:rPr>
                <w:rFonts w:hint="eastAsia" w:ascii="宋体" w:hAnsi="宋体" w:eastAsia="宋体" w:cs="宋体"/>
                <w:sz w:val="18"/>
                <w:szCs w:val="18"/>
                <w:lang w:eastAsia="zh-CN"/>
              </w:rPr>
            </w:pPr>
            <w:r>
              <w:rPr>
                <w:rFonts w:hint="eastAsia" w:ascii="宋体" w:hAnsi="宋体" w:eastAsia="宋体" w:cs="宋体"/>
                <w:sz w:val="18"/>
                <w:szCs w:val="18"/>
                <w:lang w:eastAsia="zh-CN"/>
              </w:rPr>
              <w:t>针对项目实际情况，有相应的安全目标和保证措施，措施完整、可行、科学，适用规范正确，满足规范要求（</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≤合格＜</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≤良好＜</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≤优秀≤</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分）未提供或无任何针对性、可行性，该小项不得分。</w:t>
            </w:r>
          </w:p>
        </w:tc>
      </w:tr>
      <w:tr w14:paraId="3FE7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Merge w:val="continue"/>
            <w:noWrap w:val="0"/>
            <w:vAlign w:val="center"/>
          </w:tcPr>
          <w:p w14:paraId="5CB9D153">
            <w:pPr>
              <w:jc w:val="center"/>
              <w:rPr>
                <w:rFonts w:hint="eastAsia" w:ascii="宋体" w:hAnsi="宋体" w:eastAsia="宋体" w:cs="宋体"/>
                <w:sz w:val="18"/>
                <w:szCs w:val="18"/>
                <w:lang w:eastAsia="zh-CN"/>
              </w:rPr>
            </w:pPr>
          </w:p>
        </w:tc>
        <w:tc>
          <w:tcPr>
            <w:tcW w:w="915" w:type="pct"/>
            <w:vMerge w:val="continue"/>
            <w:noWrap w:val="0"/>
            <w:vAlign w:val="center"/>
          </w:tcPr>
          <w:p w14:paraId="0BF337B3">
            <w:pPr>
              <w:jc w:val="center"/>
              <w:rPr>
                <w:rFonts w:hint="eastAsia" w:ascii="宋体" w:hAnsi="宋体" w:eastAsia="宋体" w:cs="宋体"/>
                <w:sz w:val="18"/>
                <w:szCs w:val="18"/>
                <w:lang w:eastAsia="zh-CN"/>
              </w:rPr>
            </w:pPr>
          </w:p>
        </w:tc>
        <w:tc>
          <w:tcPr>
            <w:tcW w:w="962" w:type="pct"/>
            <w:noWrap w:val="0"/>
            <w:vAlign w:val="center"/>
          </w:tcPr>
          <w:p w14:paraId="7C27DDDC">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关键工序控制的任务与方法（</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w:t>
            </w:r>
          </w:p>
        </w:tc>
        <w:tc>
          <w:tcPr>
            <w:tcW w:w="2319" w:type="pct"/>
            <w:noWrap w:val="0"/>
            <w:vAlign w:val="center"/>
          </w:tcPr>
          <w:p w14:paraId="03F6DF66">
            <w:pPr>
              <w:rPr>
                <w:rFonts w:hint="eastAsia" w:ascii="宋体" w:hAnsi="宋体" w:eastAsia="宋体" w:cs="宋体"/>
                <w:sz w:val="18"/>
                <w:szCs w:val="18"/>
                <w:lang w:eastAsia="zh-CN"/>
              </w:rPr>
            </w:pPr>
            <w:r>
              <w:rPr>
                <w:rFonts w:hint="eastAsia" w:ascii="宋体" w:hAnsi="宋体" w:eastAsia="宋体" w:cs="宋体"/>
                <w:sz w:val="18"/>
                <w:szCs w:val="18"/>
                <w:lang w:eastAsia="zh-CN"/>
              </w:rPr>
              <w:t>对工程的关键工序认识清晰，对工程关键工序的监理方法科学，经济、安全，措施有针对性（</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≤合格＜</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≤良好＜</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≤优秀≤</w:t>
            </w: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分），未提供或无任何针对性、可行性，该小项不得分。</w:t>
            </w:r>
          </w:p>
        </w:tc>
      </w:tr>
      <w:tr w14:paraId="6A3C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pct"/>
            <w:vMerge w:val="continue"/>
            <w:noWrap w:val="0"/>
            <w:vAlign w:val="center"/>
          </w:tcPr>
          <w:p w14:paraId="530DA1A4">
            <w:pPr>
              <w:jc w:val="center"/>
              <w:rPr>
                <w:rFonts w:hint="eastAsia" w:ascii="宋体" w:hAnsi="宋体" w:eastAsia="宋体" w:cs="宋体"/>
                <w:sz w:val="18"/>
                <w:szCs w:val="18"/>
                <w:lang w:eastAsia="zh-CN"/>
              </w:rPr>
            </w:pPr>
          </w:p>
        </w:tc>
        <w:tc>
          <w:tcPr>
            <w:tcW w:w="915" w:type="pct"/>
            <w:vMerge w:val="continue"/>
            <w:noWrap w:val="0"/>
            <w:vAlign w:val="center"/>
          </w:tcPr>
          <w:p w14:paraId="1EAB6738">
            <w:pPr>
              <w:jc w:val="center"/>
              <w:rPr>
                <w:rFonts w:hint="eastAsia" w:ascii="宋体" w:hAnsi="宋体" w:eastAsia="宋体" w:cs="宋体"/>
                <w:sz w:val="18"/>
                <w:szCs w:val="18"/>
                <w:lang w:eastAsia="zh-CN"/>
              </w:rPr>
            </w:pPr>
          </w:p>
        </w:tc>
        <w:tc>
          <w:tcPr>
            <w:tcW w:w="962" w:type="pct"/>
            <w:noWrap w:val="0"/>
            <w:vAlign w:val="center"/>
          </w:tcPr>
          <w:p w14:paraId="7851E83A">
            <w:pPr>
              <w:jc w:val="center"/>
              <w:rPr>
                <w:rFonts w:ascii="宋体" w:hAnsi="宋体" w:eastAsia="宋体" w:cs="宋体"/>
                <w:sz w:val="18"/>
                <w:szCs w:val="18"/>
                <w:lang w:eastAsia="zh-CN"/>
              </w:rPr>
            </w:pPr>
            <w:r>
              <w:rPr>
                <w:rFonts w:hint="eastAsia" w:ascii="宋体" w:hAnsi="宋体" w:eastAsia="宋体" w:cs="宋体"/>
                <w:sz w:val="18"/>
                <w:szCs w:val="18"/>
                <w:lang w:eastAsia="zh-CN"/>
              </w:rPr>
              <w:t>合理化建议</w:t>
            </w:r>
          </w:p>
          <w:p w14:paraId="3293BAE2">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分）</w:t>
            </w:r>
          </w:p>
        </w:tc>
        <w:tc>
          <w:tcPr>
            <w:tcW w:w="2319" w:type="pct"/>
            <w:noWrap w:val="0"/>
            <w:vAlign w:val="center"/>
          </w:tcPr>
          <w:p w14:paraId="1D9C19EE">
            <w:pPr>
              <w:rPr>
                <w:rFonts w:hint="eastAsia" w:ascii="宋体" w:hAnsi="宋体" w:eastAsia="宋体" w:cs="宋体"/>
                <w:sz w:val="18"/>
                <w:szCs w:val="18"/>
                <w:lang w:eastAsia="zh-CN"/>
              </w:rPr>
            </w:pPr>
            <w:r>
              <w:rPr>
                <w:rFonts w:hint="eastAsia" w:ascii="宋体" w:hAnsi="宋体" w:eastAsia="宋体" w:cs="宋体"/>
                <w:sz w:val="18"/>
                <w:szCs w:val="18"/>
                <w:lang w:eastAsia="zh-CN"/>
              </w:rPr>
              <w:t>针对本项目特点提供的合理化建议方案，内容包括但不限于对本项目的合理化建议等，进行综合评审：（</w:t>
            </w: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≤合格＜</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≤良好＜</w:t>
            </w: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分；</w:t>
            </w: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≤优秀≤</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分），未提供或无任何针对性、可行性，该小项不得分。</w:t>
            </w:r>
          </w:p>
        </w:tc>
      </w:tr>
      <w:tr w14:paraId="7A67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noWrap w:val="0"/>
            <w:vAlign w:val="center"/>
          </w:tcPr>
          <w:p w14:paraId="02A6CCBD">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4</w:t>
            </w:r>
          </w:p>
        </w:tc>
        <w:tc>
          <w:tcPr>
            <w:tcW w:w="915" w:type="pct"/>
            <w:noWrap w:val="0"/>
            <w:vAlign w:val="center"/>
          </w:tcPr>
          <w:p w14:paraId="1E143DC0">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报价评分标准</w:t>
            </w:r>
          </w:p>
        </w:tc>
        <w:tc>
          <w:tcPr>
            <w:tcW w:w="3282" w:type="pct"/>
            <w:gridSpan w:val="2"/>
            <w:noWrap w:val="0"/>
            <w:vAlign w:val="center"/>
          </w:tcPr>
          <w:p w14:paraId="558A77D0">
            <w:pPr>
              <w:ind w:firstLine="360" w:firstLineChars="200"/>
              <w:rPr>
                <w:rFonts w:hint="eastAsia" w:ascii="宋体" w:hAnsi="宋体" w:eastAsia="宋体" w:cs="宋体"/>
                <w:sz w:val="18"/>
                <w:szCs w:val="18"/>
                <w:lang w:eastAsia="zh-CN"/>
              </w:rPr>
            </w:pPr>
            <w:r>
              <w:rPr>
                <w:rFonts w:hint="eastAsia" w:ascii="宋体" w:hAnsi="宋体" w:eastAsia="宋体" w:cs="宋体"/>
                <w:sz w:val="18"/>
                <w:szCs w:val="18"/>
                <w:shd w:val="clear"/>
                <w:lang w:val="en-US" w:eastAsia="zh-CN"/>
              </w:rPr>
              <w:t>本项目按费率报价，</w:t>
            </w:r>
            <w:r>
              <w:rPr>
                <w:rFonts w:hint="eastAsia" w:ascii="宋体" w:hAnsi="宋体" w:eastAsia="宋体" w:cs="宋体"/>
                <w:sz w:val="18"/>
                <w:szCs w:val="18"/>
                <w:lang w:eastAsia="zh-CN"/>
              </w:rPr>
              <w:t>最高响应</w:t>
            </w:r>
            <w:r>
              <w:rPr>
                <w:rFonts w:hint="eastAsia" w:ascii="宋体" w:hAnsi="宋体" w:eastAsia="宋体" w:cs="宋体"/>
                <w:sz w:val="18"/>
                <w:szCs w:val="18"/>
                <w:lang w:val="en-US" w:eastAsia="zh-CN"/>
              </w:rPr>
              <w:t>报价为</w:t>
            </w:r>
            <w:r>
              <w:rPr>
                <w:rFonts w:hint="eastAsia" w:ascii="宋体" w:hAnsi="宋体" w:eastAsia="宋体" w:cs="宋体"/>
                <w:sz w:val="18"/>
                <w:szCs w:val="18"/>
                <w:lang w:eastAsia="zh-CN"/>
              </w:rPr>
              <w:t>2%</w:t>
            </w:r>
            <w:r>
              <w:rPr>
                <w:rFonts w:hint="eastAsia" w:ascii="宋体" w:hAnsi="宋体" w:eastAsia="宋体" w:cs="宋体"/>
                <w:sz w:val="18"/>
                <w:szCs w:val="18"/>
                <w:shd w:val="clear"/>
                <w:lang w:val="en-US" w:eastAsia="zh-CN"/>
              </w:rPr>
              <w:t>（最终监理费用不得超过56</w:t>
            </w:r>
            <w:r>
              <w:rPr>
                <w:rFonts w:hint="eastAsia" w:ascii="宋体" w:hAnsi="宋体" w:eastAsia="宋体" w:cs="宋体"/>
                <w:sz w:val="18"/>
                <w:szCs w:val="18"/>
                <w:highlight w:val="none"/>
                <w:lang w:val="en-US" w:eastAsia="zh-CN"/>
              </w:rPr>
              <w:t>,510</w:t>
            </w:r>
            <w:r>
              <w:rPr>
                <w:rFonts w:hint="eastAsia" w:ascii="宋体" w:hAnsi="宋体" w:eastAsia="宋体" w:cs="宋体"/>
                <w:sz w:val="18"/>
                <w:szCs w:val="18"/>
                <w:highlight w:val="none"/>
                <w:shd w:val="clear"/>
                <w:lang w:val="en-US" w:eastAsia="zh-CN"/>
              </w:rPr>
              <w:t>.00元</w:t>
            </w:r>
            <w:r>
              <w:rPr>
                <w:rFonts w:hint="eastAsia" w:ascii="宋体" w:hAnsi="宋体" w:eastAsia="宋体" w:cs="宋体"/>
                <w:sz w:val="18"/>
                <w:szCs w:val="18"/>
                <w:shd w:val="clear"/>
                <w:lang w:val="en-US" w:eastAsia="zh-CN"/>
              </w:rPr>
              <w:t>），根据</w:t>
            </w:r>
            <w:r>
              <w:rPr>
                <w:rFonts w:hint="eastAsia" w:ascii="宋体" w:hAnsi="宋体" w:eastAsia="宋体" w:cs="宋体"/>
                <w:sz w:val="18"/>
                <w:szCs w:val="18"/>
                <w:lang w:eastAsia="zh-CN"/>
              </w:rPr>
              <w:t>有效</w:t>
            </w:r>
            <w:r>
              <w:rPr>
                <w:rFonts w:hint="eastAsia" w:ascii="宋体" w:hAnsi="宋体" w:eastAsia="宋体" w:cs="宋体"/>
                <w:sz w:val="18"/>
                <w:szCs w:val="18"/>
                <w:lang w:val="en-US" w:eastAsia="zh-CN"/>
              </w:rPr>
              <w:t>响应</w:t>
            </w:r>
            <w:r>
              <w:rPr>
                <w:rFonts w:hint="eastAsia" w:ascii="宋体" w:hAnsi="宋体" w:eastAsia="宋体" w:cs="宋体"/>
                <w:sz w:val="18"/>
                <w:szCs w:val="18"/>
                <w:lang w:eastAsia="zh-CN"/>
              </w:rPr>
              <w:t>报价中的算术平均费率为评标基准价，其价格分为满分。（计算到小数点后二位，</w:t>
            </w:r>
            <w:r>
              <w:rPr>
                <w:rFonts w:hint="eastAsia" w:ascii="宋体" w:hAnsi="宋体" w:eastAsia="宋体" w:cs="宋体"/>
                <w:i w:val="0"/>
                <w:iCs w:val="0"/>
                <w:caps w:val="0"/>
                <w:color w:val="000000"/>
                <w:spacing w:val="0"/>
                <w:sz w:val="18"/>
                <w:szCs w:val="18"/>
                <w:shd w:val="clear"/>
                <w:lang w:val="en-US" w:eastAsia="zh-CN"/>
              </w:rPr>
              <w:t>第三位四舍五入</w:t>
            </w:r>
            <w:r>
              <w:rPr>
                <w:rFonts w:hint="eastAsia" w:ascii="宋体" w:hAnsi="宋体" w:eastAsia="宋体" w:cs="宋体"/>
                <w:sz w:val="18"/>
                <w:szCs w:val="18"/>
                <w:lang w:eastAsia="zh-CN"/>
              </w:rPr>
              <w:t>）</w:t>
            </w:r>
          </w:p>
          <w:p w14:paraId="558A77D1">
            <w:pPr>
              <w:rPr>
                <w:rFonts w:hint="eastAsia" w:ascii="宋体" w:hAnsi="宋体" w:eastAsia="宋体" w:cs="宋体"/>
                <w:sz w:val="18"/>
                <w:szCs w:val="18"/>
                <w:lang w:eastAsia="zh-CN"/>
              </w:rPr>
            </w:pPr>
            <w:r>
              <w:rPr>
                <w:rFonts w:hint="eastAsia" w:ascii="宋体" w:hAnsi="宋体" w:eastAsia="宋体" w:cs="宋体"/>
                <w:sz w:val="18"/>
                <w:szCs w:val="18"/>
                <w:lang w:eastAsia="zh-CN"/>
              </w:rPr>
              <w:t>1、偏差率=（</w:t>
            </w:r>
            <w:r>
              <w:rPr>
                <w:rFonts w:hint="eastAsia" w:ascii="宋体" w:hAnsi="宋体" w:eastAsia="宋体" w:cs="宋体"/>
                <w:i w:val="0"/>
                <w:iCs w:val="0"/>
                <w:caps w:val="0"/>
                <w:color w:val="000000"/>
                <w:spacing w:val="0"/>
                <w:sz w:val="18"/>
                <w:szCs w:val="18"/>
                <w:lang w:val="en-US" w:eastAsia="zh-CN"/>
              </w:rPr>
              <w:t>响应</w:t>
            </w:r>
            <w:r>
              <w:rPr>
                <w:rFonts w:hint="eastAsia" w:ascii="宋体" w:hAnsi="宋体" w:eastAsia="宋体" w:cs="宋体"/>
                <w:sz w:val="18"/>
                <w:szCs w:val="18"/>
                <w:lang w:eastAsia="zh-CN"/>
              </w:rPr>
              <w:t>人报价－评标基准价）/评标基准价*100%</w:t>
            </w:r>
          </w:p>
          <w:p w14:paraId="558A77D2">
            <w:pPr>
              <w:rPr>
                <w:rFonts w:hint="eastAsia" w:ascii="宋体" w:hAnsi="宋体" w:eastAsia="宋体" w:cs="宋体"/>
                <w:sz w:val="18"/>
                <w:szCs w:val="18"/>
                <w:lang w:eastAsia="zh-CN"/>
              </w:rPr>
            </w:pPr>
            <w:r>
              <w:rPr>
                <w:rFonts w:hint="eastAsia" w:ascii="宋体" w:hAnsi="宋体" w:eastAsia="宋体" w:cs="宋体"/>
                <w:sz w:val="18"/>
                <w:szCs w:val="18"/>
                <w:lang w:eastAsia="zh-CN"/>
              </w:rPr>
              <w:t>2、报价得分</w:t>
            </w:r>
          </w:p>
          <w:p w14:paraId="558A77D3">
            <w:pPr>
              <w:rPr>
                <w:rFonts w:hint="eastAsia" w:ascii="宋体" w:hAnsi="宋体" w:eastAsia="宋体" w:cs="宋体"/>
                <w:sz w:val="18"/>
                <w:szCs w:val="18"/>
                <w:lang w:eastAsia="zh-CN"/>
              </w:rPr>
            </w:pPr>
            <w:r>
              <w:rPr>
                <w:rFonts w:hint="eastAsia" w:ascii="宋体" w:hAnsi="宋体" w:eastAsia="宋体" w:cs="宋体"/>
                <w:sz w:val="18"/>
                <w:szCs w:val="18"/>
                <w:lang w:eastAsia="zh-CN"/>
              </w:rPr>
              <w:t>报价得分计算公式：</w:t>
            </w:r>
          </w:p>
          <w:p w14:paraId="558A77D4">
            <w:pPr>
              <w:rPr>
                <w:rFonts w:hint="eastAsia" w:ascii="宋体" w:hAnsi="宋体" w:eastAsia="宋体" w:cs="宋体"/>
                <w:sz w:val="18"/>
                <w:szCs w:val="18"/>
                <w:highlight w:val="none"/>
                <w:lang w:eastAsia="zh-CN"/>
              </w:rPr>
            </w:pPr>
            <w:r>
              <w:rPr>
                <w:rFonts w:hint="eastAsia" w:ascii="宋体" w:hAnsi="宋体" w:eastAsia="宋体" w:cs="宋体"/>
                <w:sz w:val="18"/>
                <w:szCs w:val="18"/>
                <w:lang w:eastAsia="zh-CN"/>
              </w:rPr>
              <w:t>如果</w:t>
            </w:r>
            <w:r>
              <w:rPr>
                <w:rFonts w:hint="eastAsia" w:ascii="宋体" w:hAnsi="宋体" w:eastAsia="宋体" w:cs="宋体"/>
                <w:i w:val="0"/>
                <w:iCs w:val="0"/>
                <w:caps w:val="0"/>
                <w:color w:val="000000"/>
                <w:spacing w:val="0"/>
                <w:sz w:val="18"/>
                <w:szCs w:val="18"/>
                <w:lang w:val="en-US" w:eastAsia="zh-CN"/>
              </w:rPr>
              <w:t>响应</w:t>
            </w:r>
            <w:r>
              <w:rPr>
                <w:rFonts w:hint="eastAsia" w:ascii="宋体" w:hAnsi="宋体" w:eastAsia="宋体" w:cs="宋体"/>
                <w:sz w:val="18"/>
                <w:szCs w:val="18"/>
                <w:lang w:eastAsia="zh-CN"/>
              </w:rPr>
              <w:t>人的</w:t>
            </w:r>
            <w:r>
              <w:rPr>
                <w:rFonts w:hint="eastAsia" w:ascii="宋体" w:hAnsi="宋体" w:eastAsia="宋体" w:cs="宋体"/>
                <w:sz w:val="18"/>
                <w:szCs w:val="18"/>
                <w:lang w:val="en-US" w:eastAsia="zh-CN"/>
              </w:rPr>
              <w:t>报</w:t>
            </w:r>
            <w:r>
              <w:rPr>
                <w:rFonts w:hint="eastAsia" w:ascii="宋体" w:hAnsi="宋体" w:eastAsia="宋体" w:cs="宋体"/>
                <w:sz w:val="18"/>
                <w:szCs w:val="18"/>
                <w:lang w:eastAsia="zh-CN"/>
              </w:rPr>
              <w:t>价＞评标基准价，则</w:t>
            </w:r>
            <w:r>
              <w:rPr>
                <w:rFonts w:hint="eastAsia" w:ascii="宋体" w:hAnsi="宋体" w:eastAsia="宋体" w:cs="宋体"/>
                <w:sz w:val="18"/>
                <w:szCs w:val="18"/>
                <w:lang w:val="en-US" w:eastAsia="zh-CN"/>
              </w:rPr>
              <w:t>报</w:t>
            </w:r>
            <w:r>
              <w:rPr>
                <w:rFonts w:hint="eastAsia" w:ascii="宋体" w:hAnsi="宋体" w:eastAsia="宋体" w:cs="宋体"/>
                <w:sz w:val="18"/>
                <w:szCs w:val="18"/>
                <w:lang w:eastAsia="zh-CN"/>
              </w:rPr>
              <w:t>价得分=</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0-偏差率*</w:t>
            </w:r>
            <w:r>
              <w:rPr>
                <w:rFonts w:hint="eastAsia" w:ascii="宋体" w:hAnsi="宋体" w:eastAsia="宋体" w:cs="宋体"/>
                <w:sz w:val="18"/>
                <w:szCs w:val="18"/>
                <w:highlight w:val="none"/>
                <w:lang w:eastAsia="zh-CN"/>
              </w:rPr>
              <w:t>100*0.1；</w:t>
            </w:r>
          </w:p>
          <w:p w14:paraId="4B176107">
            <w:pPr>
              <w:rPr>
                <w:rFonts w:hint="eastAsia" w:ascii="宋体" w:hAnsi="宋体" w:eastAsia="宋体" w:cs="宋体"/>
                <w:color w:val="FF0000"/>
                <w:sz w:val="18"/>
                <w:szCs w:val="18"/>
                <w:highlight w:val="none"/>
                <w:lang w:eastAsia="zh-CN"/>
              </w:rPr>
            </w:pPr>
            <w:r>
              <w:rPr>
                <w:rFonts w:hint="eastAsia" w:ascii="宋体" w:hAnsi="宋体" w:eastAsia="宋体" w:cs="宋体"/>
                <w:sz w:val="18"/>
                <w:szCs w:val="18"/>
                <w:highlight w:val="none"/>
                <w:lang w:eastAsia="zh-CN"/>
              </w:rPr>
              <w:t>如果</w:t>
            </w:r>
            <w:r>
              <w:rPr>
                <w:rFonts w:hint="eastAsia" w:ascii="宋体" w:hAnsi="宋体" w:eastAsia="宋体" w:cs="宋体"/>
                <w:i w:val="0"/>
                <w:iCs w:val="0"/>
                <w:caps w:val="0"/>
                <w:color w:val="000000"/>
                <w:spacing w:val="0"/>
                <w:sz w:val="18"/>
                <w:szCs w:val="18"/>
                <w:highlight w:val="none"/>
                <w:lang w:val="en-US" w:eastAsia="zh-CN"/>
              </w:rPr>
              <w:t>响应</w:t>
            </w:r>
            <w:r>
              <w:rPr>
                <w:rFonts w:hint="eastAsia" w:ascii="宋体" w:hAnsi="宋体" w:eastAsia="宋体" w:cs="宋体"/>
                <w:sz w:val="18"/>
                <w:szCs w:val="18"/>
                <w:highlight w:val="none"/>
                <w:lang w:eastAsia="zh-CN"/>
              </w:rPr>
              <w:t>人的</w:t>
            </w:r>
            <w:r>
              <w:rPr>
                <w:rFonts w:hint="eastAsia" w:ascii="宋体" w:hAnsi="宋体" w:eastAsia="宋体" w:cs="宋体"/>
                <w:sz w:val="18"/>
                <w:szCs w:val="18"/>
                <w:highlight w:val="none"/>
                <w:lang w:val="en-US" w:eastAsia="zh-CN"/>
              </w:rPr>
              <w:t>报</w:t>
            </w:r>
            <w:r>
              <w:rPr>
                <w:rFonts w:hint="eastAsia" w:ascii="宋体" w:hAnsi="宋体" w:eastAsia="宋体" w:cs="宋体"/>
                <w:sz w:val="18"/>
                <w:szCs w:val="18"/>
                <w:highlight w:val="none"/>
                <w:lang w:eastAsia="zh-CN"/>
              </w:rPr>
              <w:t>价≤评标基准价，则</w:t>
            </w:r>
            <w:r>
              <w:rPr>
                <w:rFonts w:hint="eastAsia" w:ascii="宋体" w:hAnsi="宋体" w:eastAsia="宋体" w:cs="宋体"/>
                <w:sz w:val="18"/>
                <w:szCs w:val="18"/>
                <w:highlight w:val="none"/>
                <w:lang w:val="en-US" w:eastAsia="zh-CN"/>
              </w:rPr>
              <w:t>报</w:t>
            </w:r>
            <w:r>
              <w:rPr>
                <w:rFonts w:hint="eastAsia" w:ascii="宋体" w:hAnsi="宋体" w:eastAsia="宋体" w:cs="宋体"/>
                <w:sz w:val="18"/>
                <w:szCs w:val="18"/>
                <w:highlight w:val="none"/>
                <w:lang w:eastAsia="zh-CN"/>
              </w:rPr>
              <w:t>价得分=</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lang w:eastAsia="zh-CN"/>
              </w:rPr>
              <w:t>0+偏差率*100*0.0</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lang w:eastAsia="zh-CN"/>
              </w:rPr>
              <w:br w:type="textWrapping"/>
            </w:r>
            <w:r>
              <w:rPr>
                <w:rFonts w:hint="eastAsia" w:ascii="宋体" w:hAnsi="宋体" w:eastAsia="宋体" w:cs="宋体"/>
                <w:sz w:val="18"/>
                <w:szCs w:val="18"/>
                <w:lang w:val="en-US" w:eastAsia="zh-CN"/>
              </w:rPr>
              <w:t xml:space="preserve">  </w:t>
            </w:r>
            <w:r>
              <w:rPr>
                <w:rFonts w:hint="eastAsia" w:ascii="宋体" w:hAnsi="宋体" w:eastAsia="宋体" w:cs="宋体"/>
                <w:color w:val="FF0000"/>
                <w:sz w:val="18"/>
                <w:szCs w:val="18"/>
                <w:highlight w:val="none"/>
                <w:lang w:eastAsia="zh-CN"/>
              </w:rPr>
              <w:t>若响应报价超出评审价格2%（如有），其响应文件将被视为无效。</w:t>
            </w:r>
          </w:p>
          <w:p w14:paraId="4018642E">
            <w:pPr>
              <w:ind w:firstLine="180" w:firstLineChars="100"/>
              <w:rPr>
                <w:rFonts w:hint="eastAsia" w:ascii="宋体" w:hAnsi="宋体" w:eastAsia="宋体" w:cs="宋体"/>
                <w:color w:val="FF0000"/>
                <w:sz w:val="18"/>
                <w:szCs w:val="18"/>
                <w:highlight w:val="none"/>
                <w:lang w:eastAsia="zh-CN"/>
              </w:rPr>
            </w:pPr>
            <w:r>
              <w:rPr>
                <w:rFonts w:hint="eastAsia" w:ascii="宋体" w:hAnsi="宋体" w:eastAsia="宋体" w:cs="宋体"/>
                <w:color w:val="FF0000"/>
                <w:sz w:val="18"/>
                <w:szCs w:val="18"/>
                <w:highlight w:val="none"/>
                <w:lang w:eastAsia="zh-CN"/>
              </w:rPr>
              <w:t>评审小组经过对供应商的报价进行比较或基于专业经验认为某一供应商的报价异常过低（若供应商的响应报价低于其他供应商有效报价的算</w:t>
            </w:r>
            <w:r>
              <w:rPr>
                <w:rFonts w:hint="eastAsia" w:ascii="宋体" w:hAnsi="宋体" w:eastAsia="宋体" w:cs="宋体"/>
                <w:color w:val="FF0000"/>
                <w:sz w:val="18"/>
                <w:szCs w:val="18"/>
                <w:highlight w:val="none"/>
                <w:lang w:val="en-US" w:eastAsia="zh-CN"/>
              </w:rPr>
              <w:t>术</w:t>
            </w:r>
            <w:r>
              <w:rPr>
                <w:rFonts w:hint="eastAsia" w:ascii="宋体" w:hAnsi="宋体" w:eastAsia="宋体" w:cs="宋体"/>
                <w:color w:val="FF0000"/>
                <w:sz w:val="18"/>
                <w:szCs w:val="18"/>
                <w:highlight w:val="none"/>
                <w:lang w:eastAsia="zh-CN"/>
              </w:rPr>
              <w:t>平均值的60%），可能对其履约造成影响时，应当要求该供应商作出书面说明并提供相应的证明材料。供应商不能合理说明或者不能提供相应证明材料的，其响应文件将被视为无效，不再参与详细评审。</w:t>
            </w:r>
          </w:p>
          <w:p w14:paraId="18E136BE">
            <w:pPr>
              <w:rPr>
                <w:rFonts w:hint="default" w:ascii="宋体" w:hAnsi="宋体" w:eastAsia="宋体" w:cs="宋体"/>
                <w:sz w:val="18"/>
                <w:szCs w:val="18"/>
                <w:u w:val="single"/>
                <w:lang w:val="en-US" w:eastAsia="zh-CN"/>
              </w:rPr>
            </w:pPr>
            <w:r>
              <w:rPr>
                <w:rFonts w:hint="eastAsia" w:ascii="宋体" w:hAnsi="宋体" w:eastAsia="宋体" w:cs="宋体"/>
                <w:sz w:val="18"/>
                <w:szCs w:val="18"/>
                <w:u w:val="none"/>
                <w:lang w:val="en-US" w:eastAsia="zh-CN"/>
              </w:rPr>
              <w:t xml:space="preserve">  </w:t>
            </w:r>
            <w:r>
              <w:rPr>
                <w:rFonts w:hint="eastAsia" w:ascii="宋体" w:hAnsi="宋体" w:eastAsia="宋体" w:cs="宋体"/>
                <w:color w:val="FF0000"/>
                <w:sz w:val="18"/>
                <w:szCs w:val="18"/>
                <w:u w:val="none"/>
                <w:lang w:val="en-US" w:eastAsia="zh-CN"/>
              </w:rPr>
              <w:t>当出现综合评审得分相同时，按以下顺序：报价得分高的优先；仍相同时，由评审小组现场抽签确定顺序。</w:t>
            </w:r>
          </w:p>
        </w:tc>
      </w:tr>
    </w:tbl>
    <w:p w14:paraId="07D45256">
      <w:pPr>
        <w:spacing w:line="360" w:lineRule="auto"/>
        <w:ind w:firstLine="480" w:firstLineChars="200"/>
        <w:rPr>
          <w:rFonts w:hint="eastAsia" w:ascii="宋体" w:hAnsi="宋体" w:eastAsia="宋体" w:cs="宋体"/>
        </w:rPr>
      </w:pPr>
    </w:p>
    <w:p w14:paraId="12FB4DCA">
      <w:pPr>
        <w:pStyle w:val="10"/>
        <w:spacing w:line="360" w:lineRule="auto"/>
        <w:ind w:firstLine="480" w:firstLineChars="200"/>
        <w:rPr>
          <w:rFonts w:hint="default"/>
          <w:sz w:val="24"/>
          <w:szCs w:val="24"/>
          <w:lang w:val="en-US" w:eastAsia="zh-CN"/>
        </w:rPr>
      </w:pPr>
      <w:bookmarkStart w:id="0" w:name="bookmark1188"/>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11EF">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9334C">
                          <w:pPr>
                            <w:pStyle w:val="6"/>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999334C">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BEA9">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5494020</wp:posOffset>
              </wp:positionH>
              <wp:positionV relativeFrom="page">
                <wp:posOffset>998220</wp:posOffset>
              </wp:positionV>
              <wp:extent cx="1121410" cy="10668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1121410" cy="106680"/>
                      </a:xfrm>
                      <a:prstGeom prst="rect">
                        <a:avLst/>
                      </a:prstGeom>
                      <a:noFill/>
                      <a:ln>
                        <a:noFill/>
                      </a:ln>
                      <a:effectLst/>
                    </wps:spPr>
                    <wps:txbx>
                      <w:txbxContent>
                        <w:p w14:paraId="16EC919C">
                          <w:pPr>
                            <w:pStyle w:val="11"/>
                            <w:rPr>
                              <w:sz w:val="16"/>
                              <w:szCs w:val="16"/>
                            </w:rPr>
                          </w:pPr>
                        </w:p>
                      </w:txbxContent>
                    </wps:txbx>
                    <wps:bodyPr wrap="none" lIns="0" tIns="0" rIns="0" bIns="0">
                      <a:spAutoFit/>
                    </wps:bodyPr>
                  </wps:wsp>
                </a:graphicData>
              </a:graphic>
            </wp:anchor>
          </w:drawing>
        </mc:Choice>
        <mc:Fallback>
          <w:pict>
            <v:shape id="_x0000_s1026" o:spid="_x0000_s1026" o:spt="202" type="#_x0000_t202" style="position:absolute;left:0pt;margin-left:432.6pt;margin-top:78.6pt;height:8.4pt;width:88.3pt;mso-position-horizontal-relative:page;mso-position-vertical-relative:page;mso-wrap-style:none;z-index:-251657216;mso-width-relative:page;mso-height-relative:page;" filled="f" stroked="f" coordsize="21600,21600" o:gfxdata="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2/IwvWAAAADAEAAA8AAAAAAAAAAQAgAAAAIgAAAGRy&#10;cy9kb3ducmV2LnhtbFBLAQIUABQAAAAIAIdO4kBK/H1bzgEAAJ4DAAAOAAAAAAAAAAEAIAAAACUB&#10;AABkcnMvZTJvRG9jLnhtbFBLBQYAAAAABgAGAFkBAABlBQAAAAA=&#10;">
              <v:fill on="f" focussize="0,0"/>
              <v:stroke on="f"/>
              <v:imagedata o:title=""/>
              <o:lock v:ext="edit" aspectratio="f"/>
              <v:textbox inset="0mm,0mm,0mm,0mm" style="mso-fit-shape-to-text:t;">
                <w:txbxContent>
                  <w:p w14:paraId="16EC919C">
                    <w:pPr>
                      <w:pStyle w:val="11"/>
                      <w:rPr>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DFA"/>
    <w:rsid w:val="08130D4D"/>
    <w:rsid w:val="0A92134D"/>
    <w:rsid w:val="0E707BF7"/>
    <w:rsid w:val="0F0F17D9"/>
    <w:rsid w:val="0F8F5730"/>
    <w:rsid w:val="0FF97173"/>
    <w:rsid w:val="11333889"/>
    <w:rsid w:val="12DD4525"/>
    <w:rsid w:val="15354AD7"/>
    <w:rsid w:val="169A0F76"/>
    <w:rsid w:val="18AB655E"/>
    <w:rsid w:val="26714923"/>
    <w:rsid w:val="29E5338B"/>
    <w:rsid w:val="2AA316A4"/>
    <w:rsid w:val="2DB15E0A"/>
    <w:rsid w:val="2DDE53EA"/>
    <w:rsid w:val="2E6F330A"/>
    <w:rsid w:val="2E8250B1"/>
    <w:rsid w:val="2E935461"/>
    <w:rsid w:val="32B83826"/>
    <w:rsid w:val="32F737BC"/>
    <w:rsid w:val="335D0C8C"/>
    <w:rsid w:val="35557BD5"/>
    <w:rsid w:val="37CB1876"/>
    <w:rsid w:val="39A03A45"/>
    <w:rsid w:val="3E70274D"/>
    <w:rsid w:val="453E23BE"/>
    <w:rsid w:val="45A45AB0"/>
    <w:rsid w:val="45D044BE"/>
    <w:rsid w:val="45FC507C"/>
    <w:rsid w:val="47362C1D"/>
    <w:rsid w:val="47CD03E3"/>
    <w:rsid w:val="489B501F"/>
    <w:rsid w:val="49005A99"/>
    <w:rsid w:val="4F373A05"/>
    <w:rsid w:val="5117478F"/>
    <w:rsid w:val="55012D85"/>
    <w:rsid w:val="5AB7748D"/>
    <w:rsid w:val="62D00DBA"/>
    <w:rsid w:val="6409717A"/>
    <w:rsid w:val="67DA08D1"/>
    <w:rsid w:val="6A772A74"/>
    <w:rsid w:val="702F21C0"/>
    <w:rsid w:val="75074227"/>
    <w:rsid w:val="7AC44ECE"/>
    <w:rsid w:val="7B3B1E3C"/>
    <w:rsid w:val="7C655BD6"/>
    <w:rsid w:val="7E35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kern w:val="0"/>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11">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1486</Words>
  <Characters>1541</Characters>
  <Lines>0</Lines>
  <Paragraphs>0</Paragraphs>
  <TotalTime>23</TotalTime>
  <ScaleCrop>false</ScaleCrop>
  <LinksUpToDate>false</LinksUpToDate>
  <CharactersWithSpaces>1577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2026-05-21T02:26:00Z</dcterms:created>
  <dc:creator>ASUS</dc:creator>
  <cp:lastModifiedBy>张书生</cp:lastModifiedBy>
  <dcterms:modified xsi:type="dcterms:W3CDTF">2026-06-15T06:39:51Z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eyJoZGlkIjoiNGVjMTVmYTdjM2IyZTNhYzM3NzgwMDZmODZkNzRiZTMiLCJ1c2VySWQiOiI0MTk2NTYwODIifQ==</vt:lpwstr>
  </property>
  <property fmtid="{D5CDD505-2E9C-101B-9397-08002B2CF9AE}" pid="4" name="ICV">
    <vt:lpwstr>1C276F370DD447F1A6C904B987E47EA5_13</vt:lpwstr>
  </property>
</Properties>
</file>